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F9DF" w14:textId="1435140A" w:rsidR="00254E50" w:rsidRPr="00AA42BD" w:rsidRDefault="00254E50" w:rsidP="00254E5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6C74" w14:paraId="0ABDFA8C" w14:textId="77777777" w:rsidTr="00252FD0">
        <w:trPr>
          <w:trHeight w:val="522"/>
        </w:trPr>
        <w:tc>
          <w:tcPr>
            <w:tcW w:w="9016" w:type="dxa"/>
            <w:shd w:val="clear" w:color="auto" w:fill="auto"/>
          </w:tcPr>
          <w:p w14:paraId="612BF117" w14:textId="77777777" w:rsidR="00254E50" w:rsidRPr="00BB1FBC" w:rsidRDefault="00AC5217" w:rsidP="00252FD0">
            <w:pPr>
              <w:jc w:val="both"/>
              <w:rPr>
                <w:rFonts w:cs="Arial"/>
                <w:b/>
                <w:szCs w:val="24"/>
              </w:rPr>
            </w:pPr>
            <w:r w:rsidRPr="00BB1FBC">
              <w:rPr>
                <w:rFonts w:cs="Arial"/>
                <w:b/>
                <w:szCs w:val="24"/>
              </w:rPr>
              <w:t>Procurement Title</w:t>
            </w:r>
          </w:p>
          <w:p w14:paraId="6DCCF25E" w14:textId="77777777" w:rsidR="003241EE" w:rsidRPr="00BB1FBC" w:rsidRDefault="00AC5217" w:rsidP="00252FD0">
            <w:pPr>
              <w:jc w:val="both"/>
              <w:rPr>
                <w:rFonts w:cs="Arial"/>
                <w:szCs w:val="24"/>
              </w:rPr>
            </w:pPr>
            <w:r w:rsidRPr="00BB1FBC">
              <w:rPr>
                <w:rFonts w:cs="Arial"/>
                <w:szCs w:val="24"/>
              </w:rPr>
              <w:t>Supply &amp; distribution of Rock Salt</w:t>
            </w:r>
          </w:p>
          <w:p w14:paraId="6A7AF961" w14:textId="77777777" w:rsidR="00254E50" w:rsidRPr="00BB1FBC" w:rsidRDefault="00254E50" w:rsidP="00252FD0">
            <w:pPr>
              <w:jc w:val="both"/>
              <w:rPr>
                <w:rFonts w:cs="Arial"/>
                <w:szCs w:val="24"/>
              </w:rPr>
            </w:pPr>
          </w:p>
        </w:tc>
      </w:tr>
      <w:tr w:rsidR="00A66C74" w14:paraId="1CC4C0C4" w14:textId="77777777" w:rsidTr="00252FD0">
        <w:trPr>
          <w:trHeight w:val="511"/>
        </w:trPr>
        <w:tc>
          <w:tcPr>
            <w:tcW w:w="9016" w:type="dxa"/>
            <w:shd w:val="clear" w:color="auto" w:fill="auto"/>
          </w:tcPr>
          <w:p w14:paraId="35418D73" w14:textId="77777777" w:rsidR="00254E50" w:rsidRPr="00BB1FBC" w:rsidRDefault="00AC5217" w:rsidP="00252FD0">
            <w:pPr>
              <w:jc w:val="both"/>
              <w:rPr>
                <w:rFonts w:cs="Arial"/>
                <w:b/>
                <w:szCs w:val="24"/>
              </w:rPr>
            </w:pPr>
            <w:r w:rsidRPr="00BB1FBC">
              <w:rPr>
                <w:rFonts w:cs="Arial"/>
                <w:b/>
                <w:szCs w:val="24"/>
              </w:rPr>
              <w:t>Procurement Option</w:t>
            </w:r>
          </w:p>
          <w:p w14:paraId="2EDC3E49" w14:textId="7DC8B558" w:rsidR="003241EE" w:rsidRPr="00BB1FBC" w:rsidRDefault="00AC5217" w:rsidP="00252FD0">
            <w:pPr>
              <w:jc w:val="both"/>
              <w:rPr>
                <w:rFonts w:cs="Arial"/>
                <w:szCs w:val="24"/>
              </w:rPr>
            </w:pPr>
            <w:r w:rsidRPr="00BB1FBC">
              <w:rPr>
                <w:rFonts w:cs="Arial"/>
                <w:szCs w:val="24"/>
              </w:rPr>
              <w:t xml:space="preserve">Call off contract via Yorkshire Purchasing Organisation (YPO) framework </w:t>
            </w:r>
            <w:r w:rsidR="005D47FB" w:rsidRPr="00BB1FBC">
              <w:rPr>
                <w:rFonts w:cs="Arial"/>
                <w:szCs w:val="24"/>
              </w:rPr>
              <w:t>1088</w:t>
            </w:r>
            <w:r w:rsidRPr="00BB1FBC">
              <w:rPr>
                <w:rFonts w:cs="Arial"/>
                <w:szCs w:val="24"/>
              </w:rPr>
              <w:t xml:space="preserve"> (Winter Maintenance) to be completed via mini competition.</w:t>
            </w:r>
          </w:p>
          <w:p w14:paraId="524E3143" w14:textId="77777777" w:rsidR="00254E50" w:rsidRPr="00BB1FBC" w:rsidRDefault="00254E50" w:rsidP="00252FD0">
            <w:pPr>
              <w:jc w:val="both"/>
              <w:rPr>
                <w:rFonts w:cs="Arial"/>
                <w:szCs w:val="24"/>
              </w:rPr>
            </w:pPr>
          </w:p>
        </w:tc>
      </w:tr>
      <w:tr w:rsidR="00A66C74" w14:paraId="2FA17401" w14:textId="77777777" w:rsidTr="00252FD0">
        <w:trPr>
          <w:trHeight w:val="511"/>
        </w:trPr>
        <w:tc>
          <w:tcPr>
            <w:tcW w:w="9016" w:type="dxa"/>
            <w:shd w:val="clear" w:color="auto" w:fill="auto"/>
          </w:tcPr>
          <w:p w14:paraId="4323E87C" w14:textId="77777777" w:rsidR="00254E50" w:rsidRPr="00BB1FBC" w:rsidRDefault="00AC5217" w:rsidP="00252FD0">
            <w:pPr>
              <w:jc w:val="both"/>
              <w:rPr>
                <w:rFonts w:cs="Arial"/>
                <w:b/>
                <w:szCs w:val="24"/>
              </w:rPr>
            </w:pPr>
            <w:r w:rsidRPr="00BB1FBC">
              <w:rPr>
                <w:rFonts w:cs="Arial"/>
                <w:b/>
                <w:szCs w:val="24"/>
              </w:rPr>
              <w:t>New or Existing Provision</w:t>
            </w:r>
          </w:p>
          <w:p w14:paraId="539AA940" w14:textId="69FAB1A3" w:rsidR="003241EE" w:rsidRPr="00BB1FBC" w:rsidRDefault="00AC5217" w:rsidP="00252FD0">
            <w:pPr>
              <w:jc w:val="both"/>
              <w:rPr>
                <w:rFonts w:cs="Arial"/>
                <w:szCs w:val="24"/>
              </w:rPr>
            </w:pPr>
            <w:r w:rsidRPr="00BB1FBC">
              <w:rPr>
                <w:rFonts w:cs="Arial"/>
                <w:szCs w:val="24"/>
              </w:rPr>
              <w:t>Existing provision which is due to expire on 31</w:t>
            </w:r>
            <w:r w:rsidR="005B2D03" w:rsidRPr="00BB1FBC">
              <w:rPr>
                <w:rFonts w:cs="Arial"/>
                <w:szCs w:val="24"/>
                <w:vertAlign w:val="superscript"/>
              </w:rPr>
              <w:t>st</w:t>
            </w:r>
            <w:r w:rsidR="005B2D03" w:rsidRPr="00BB1FBC">
              <w:rPr>
                <w:rFonts w:cs="Arial"/>
                <w:szCs w:val="24"/>
              </w:rPr>
              <w:t xml:space="preserve"> July 2022.</w:t>
            </w:r>
          </w:p>
          <w:p w14:paraId="6F5BCBAC" w14:textId="77777777" w:rsidR="00254E50" w:rsidRPr="00BB1FBC" w:rsidRDefault="00AC5217" w:rsidP="00252FD0">
            <w:pPr>
              <w:jc w:val="both"/>
              <w:rPr>
                <w:rFonts w:cs="Arial"/>
                <w:color w:val="FF0000"/>
                <w:szCs w:val="24"/>
              </w:rPr>
            </w:pPr>
            <w:r w:rsidRPr="00BB1FBC">
              <w:rPr>
                <w:rFonts w:cs="Arial"/>
                <w:color w:val="FF0000"/>
                <w:szCs w:val="24"/>
              </w:rPr>
              <w:t xml:space="preserve">  </w:t>
            </w:r>
          </w:p>
        </w:tc>
      </w:tr>
      <w:tr w:rsidR="00A66C74" w14:paraId="75020881" w14:textId="77777777" w:rsidTr="00252FD0">
        <w:trPr>
          <w:trHeight w:val="802"/>
        </w:trPr>
        <w:tc>
          <w:tcPr>
            <w:tcW w:w="9016" w:type="dxa"/>
            <w:shd w:val="clear" w:color="auto" w:fill="auto"/>
          </w:tcPr>
          <w:p w14:paraId="5FEC2134" w14:textId="77777777" w:rsidR="00254E50" w:rsidRPr="00BB1FBC" w:rsidRDefault="00AC5217" w:rsidP="00252FD0">
            <w:pPr>
              <w:jc w:val="both"/>
              <w:rPr>
                <w:rFonts w:cs="Arial"/>
                <w:b/>
                <w:szCs w:val="24"/>
              </w:rPr>
            </w:pPr>
            <w:r w:rsidRPr="00BB1FBC">
              <w:rPr>
                <w:rFonts w:cs="Arial"/>
                <w:b/>
                <w:szCs w:val="24"/>
              </w:rPr>
              <w:t>Estimated Contract Value and Funding Arrangements</w:t>
            </w:r>
          </w:p>
          <w:p w14:paraId="4ACDD0CF" w14:textId="77777777" w:rsidR="0051001A" w:rsidRPr="00BB1FBC" w:rsidRDefault="00AC5217" w:rsidP="00A00799">
            <w:pPr>
              <w:jc w:val="both"/>
              <w:rPr>
                <w:rFonts w:cs="Arial"/>
                <w:szCs w:val="24"/>
              </w:rPr>
            </w:pPr>
            <w:r w:rsidRPr="00BB1FBC">
              <w:rPr>
                <w:rFonts w:cs="Arial"/>
                <w:szCs w:val="24"/>
              </w:rPr>
              <w:t xml:space="preserve">The total </w:t>
            </w:r>
            <w:r w:rsidRPr="00BB1FBC">
              <w:rPr>
                <w:rFonts w:cs="Arial"/>
                <w:szCs w:val="24"/>
              </w:rPr>
              <w:t xml:space="preserve">contract value to be procured is </w:t>
            </w:r>
            <w:r w:rsidR="00367F7F" w:rsidRPr="00BB1FBC">
              <w:rPr>
                <w:rFonts w:cs="Arial"/>
                <w:szCs w:val="24"/>
              </w:rPr>
              <w:t>between £</w:t>
            </w:r>
            <w:r w:rsidR="0015145A" w:rsidRPr="00BB1FBC">
              <w:rPr>
                <w:rFonts w:cs="Arial"/>
                <w:szCs w:val="24"/>
              </w:rPr>
              <w:t>4</w:t>
            </w:r>
            <w:r w:rsidR="00367F7F" w:rsidRPr="00BB1FBC">
              <w:rPr>
                <w:rFonts w:cs="Arial"/>
                <w:szCs w:val="24"/>
              </w:rPr>
              <w:t>,000,000 and £8,000,000.  The contract value will fluctuate dependent on weather conditions.</w:t>
            </w:r>
            <w:r w:rsidR="00A00799" w:rsidRPr="00BB1FBC">
              <w:rPr>
                <w:rFonts w:cs="Arial"/>
                <w:szCs w:val="24"/>
              </w:rPr>
              <w:t xml:space="preserve"> </w:t>
            </w:r>
          </w:p>
          <w:p w14:paraId="5C96B4EA" w14:textId="77777777" w:rsidR="0051001A" w:rsidRPr="00BB1FBC" w:rsidRDefault="0051001A" w:rsidP="00A00799">
            <w:pPr>
              <w:jc w:val="both"/>
              <w:rPr>
                <w:rFonts w:cs="Arial"/>
                <w:szCs w:val="24"/>
              </w:rPr>
            </w:pPr>
          </w:p>
          <w:p w14:paraId="6E64FD47" w14:textId="54D077F4" w:rsidR="0044045A" w:rsidRPr="00BB1FBC" w:rsidRDefault="00AC5217" w:rsidP="00A00799">
            <w:pPr>
              <w:jc w:val="both"/>
              <w:rPr>
                <w:rFonts w:cs="Arial"/>
                <w:szCs w:val="24"/>
              </w:rPr>
            </w:pPr>
            <w:r w:rsidRPr="00BB1FBC">
              <w:rPr>
                <w:rFonts w:cs="Arial"/>
                <w:szCs w:val="24"/>
              </w:rPr>
              <w:t>Average annual value £1,222,327.47 (based on last 4 years spend)</w:t>
            </w:r>
          </w:p>
          <w:p w14:paraId="48C2D213" w14:textId="77777777" w:rsidR="004B323E" w:rsidRPr="00BB1FBC" w:rsidRDefault="004B323E" w:rsidP="00DE3BC4">
            <w:pPr>
              <w:pStyle w:val="ListParagraph"/>
              <w:jc w:val="both"/>
              <w:rPr>
                <w:rFonts w:cs="Arial"/>
                <w:i/>
                <w:color w:val="FF0000"/>
              </w:rPr>
            </w:pPr>
          </w:p>
        </w:tc>
      </w:tr>
      <w:tr w:rsidR="00A66C74" w14:paraId="43A41BC5" w14:textId="77777777" w:rsidTr="00252FD0">
        <w:trPr>
          <w:trHeight w:val="802"/>
        </w:trPr>
        <w:tc>
          <w:tcPr>
            <w:tcW w:w="9016" w:type="dxa"/>
            <w:shd w:val="clear" w:color="auto" w:fill="auto"/>
          </w:tcPr>
          <w:p w14:paraId="6A0D2DDA" w14:textId="77777777" w:rsidR="00907C36" w:rsidRPr="00BB1FBC" w:rsidRDefault="00AC5217" w:rsidP="00252FD0">
            <w:pPr>
              <w:jc w:val="both"/>
              <w:rPr>
                <w:rFonts w:cs="Arial"/>
                <w:b/>
                <w:szCs w:val="24"/>
              </w:rPr>
            </w:pPr>
            <w:r w:rsidRPr="00BB1FBC">
              <w:rPr>
                <w:rFonts w:cs="Arial"/>
                <w:b/>
                <w:szCs w:val="24"/>
              </w:rPr>
              <w:t>Contract Duration</w:t>
            </w:r>
          </w:p>
          <w:p w14:paraId="16A5011B" w14:textId="11F3C419" w:rsidR="00AA42BD" w:rsidRPr="00BB1FBC" w:rsidRDefault="00AC5217" w:rsidP="00205DC3">
            <w:pPr>
              <w:jc w:val="both"/>
              <w:rPr>
                <w:rFonts w:cs="Arial"/>
                <w:szCs w:val="24"/>
              </w:rPr>
            </w:pPr>
            <w:r w:rsidRPr="00BB1FBC">
              <w:rPr>
                <w:rFonts w:cs="Arial"/>
                <w:szCs w:val="24"/>
              </w:rPr>
              <w:t xml:space="preserve">The contract will be let for a period of 4 years (01 </w:t>
            </w:r>
            <w:r w:rsidR="001F59B1" w:rsidRPr="00BB1FBC">
              <w:rPr>
                <w:rFonts w:cs="Arial"/>
                <w:szCs w:val="24"/>
              </w:rPr>
              <w:t>August</w:t>
            </w:r>
            <w:r w:rsidRPr="00BB1FBC">
              <w:rPr>
                <w:rFonts w:cs="Arial"/>
                <w:szCs w:val="24"/>
              </w:rPr>
              <w:t xml:space="preserve"> 20</w:t>
            </w:r>
            <w:r w:rsidR="001F59B1" w:rsidRPr="00BB1FBC">
              <w:rPr>
                <w:rFonts w:cs="Arial"/>
                <w:szCs w:val="24"/>
              </w:rPr>
              <w:t>22</w:t>
            </w:r>
            <w:r w:rsidRPr="00BB1FBC">
              <w:rPr>
                <w:rFonts w:cs="Arial"/>
                <w:szCs w:val="24"/>
              </w:rPr>
              <w:t xml:space="preserve"> to 31 </w:t>
            </w:r>
            <w:r w:rsidR="001F59B1" w:rsidRPr="00BB1FBC">
              <w:rPr>
                <w:rFonts w:cs="Arial"/>
                <w:szCs w:val="24"/>
              </w:rPr>
              <w:t>July</w:t>
            </w:r>
            <w:r w:rsidRPr="00BB1FBC">
              <w:rPr>
                <w:rFonts w:cs="Arial"/>
                <w:szCs w:val="24"/>
              </w:rPr>
              <w:t xml:space="preserve"> 202</w:t>
            </w:r>
            <w:r w:rsidR="001F59B1" w:rsidRPr="00BB1FBC">
              <w:rPr>
                <w:rFonts w:cs="Arial"/>
                <w:szCs w:val="24"/>
              </w:rPr>
              <w:t>6</w:t>
            </w:r>
            <w:r w:rsidRPr="00BB1FBC">
              <w:rPr>
                <w:rFonts w:cs="Arial"/>
                <w:szCs w:val="24"/>
              </w:rPr>
              <w:t xml:space="preserve">).  </w:t>
            </w:r>
          </w:p>
          <w:p w14:paraId="5328146B" w14:textId="77777777" w:rsidR="0067300C" w:rsidRPr="00BB1FBC" w:rsidRDefault="0067300C" w:rsidP="00205DC3">
            <w:pPr>
              <w:jc w:val="both"/>
              <w:rPr>
                <w:rFonts w:cs="Arial"/>
                <w:color w:val="FF0000"/>
                <w:szCs w:val="24"/>
              </w:rPr>
            </w:pPr>
          </w:p>
        </w:tc>
      </w:tr>
      <w:tr w:rsidR="00A66C74" w14:paraId="5EF04F69" w14:textId="77777777" w:rsidTr="008C0402">
        <w:trPr>
          <w:trHeight w:val="748"/>
        </w:trPr>
        <w:tc>
          <w:tcPr>
            <w:tcW w:w="9016" w:type="dxa"/>
            <w:shd w:val="clear" w:color="auto" w:fill="auto"/>
          </w:tcPr>
          <w:p w14:paraId="09CA38AD" w14:textId="77777777" w:rsidR="00254E50" w:rsidRPr="00BB1FBC" w:rsidRDefault="00AC5217" w:rsidP="00252FD0">
            <w:pPr>
              <w:jc w:val="both"/>
              <w:rPr>
                <w:rFonts w:cs="Arial"/>
                <w:b/>
                <w:szCs w:val="24"/>
              </w:rPr>
            </w:pPr>
            <w:r w:rsidRPr="00BB1FBC">
              <w:rPr>
                <w:rFonts w:cs="Arial"/>
                <w:b/>
                <w:szCs w:val="24"/>
              </w:rPr>
              <w:t>Lotting</w:t>
            </w:r>
          </w:p>
          <w:p w14:paraId="2DECEBBD" w14:textId="3966FAD5" w:rsidR="0067300C" w:rsidRPr="00BB1FBC" w:rsidRDefault="00AC5217" w:rsidP="00252FD0">
            <w:pPr>
              <w:jc w:val="both"/>
              <w:rPr>
                <w:rFonts w:cs="Arial"/>
                <w:szCs w:val="24"/>
              </w:rPr>
            </w:pPr>
            <w:r w:rsidRPr="00BB1FBC">
              <w:rPr>
                <w:rFonts w:cs="Arial"/>
                <w:szCs w:val="24"/>
              </w:rPr>
              <w:t xml:space="preserve">The contract </w:t>
            </w:r>
            <w:r w:rsidR="0015145A" w:rsidRPr="00BB1FBC">
              <w:rPr>
                <w:rFonts w:cs="Arial"/>
                <w:szCs w:val="24"/>
              </w:rPr>
              <w:t>will be let via the</w:t>
            </w:r>
            <w:r w:rsidRPr="00BB1FBC">
              <w:rPr>
                <w:rFonts w:cs="Arial"/>
                <w:szCs w:val="24"/>
              </w:rPr>
              <w:t xml:space="preserve"> Yorkshire Purchasing Organisation (YPO) framework for Winter Maintenance.  Th</w:t>
            </w:r>
            <w:r w:rsidR="00312DE6" w:rsidRPr="00BB1FBC">
              <w:rPr>
                <w:rFonts w:cs="Arial"/>
                <w:szCs w:val="24"/>
              </w:rPr>
              <w:t>e</w:t>
            </w:r>
            <w:r w:rsidRPr="00BB1FBC">
              <w:rPr>
                <w:rFonts w:cs="Arial"/>
                <w:szCs w:val="24"/>
              </w:rPr>
              <w:t xml:space="preserve"> framework </w:t>
            </w:r>
            <w:r w:rsidR="0015145A" w:rsidRPr="00BB1FBC">
              <w:rPr>
                <w:rFonts w:cs="Arial"/>
                <w:szCs w:val="24"/>
              </w:rPr>
              <w:t xml:space="preserve">consists </w:t>
            </w:r>
            <w:r w:rsidR="00D12005" w:rsidRPr="00BB1FBC">
              <w:rPr>
                <w:rFonts w:cs="Arial"/>
                <w:szCs w:val="24"/>
              </w:rPr>
              <w:t>of 9</w:t>
            </w:r>
            <w:r w:rsidRPr="00BB1FBC">
              <w:rPr>
                <w:rFonts w:cs="Arial"/>
                <w:szCs w:val="24"/>
              </w:rPr>
              <w:t xml:space="preserve"> lots</w:t>
            </w:r>
            <w:r w:rsidR="00312DE6" w:rsidRPr="00BB1FBC">
              <w:rPr>
                <w:rFonts w:cs="Arial"/>
                <w:szCs w:val="24"/>
              </w:rPr>
              <w:t xml:space="preserve"> and a</w:t>
            </w:r>
            <w:r w:rsidRPr="00BB1FBC">
              <w:rPr>
                <w:rFonts w:cs="Arial"/>
                <w:szCs w:val="24"/>
              </w:rPr>
              <w:t xml:space="preserve"> mini competiti</w:t>
            </w:r>
            <w:r w:rsidRPr="00BB1FBC">
              <w:rPr>
                <w:rFonts w:cs="Arial"/>
                <w:szCs w:val="24"/>
              </w:rPr>
              <w:t xml:space="preserve">on </w:t>
            </w:r>
            <w:r w:rsidR="00312DE6" w:rsidRPr="00BB1FBC">
              <w:rPr>
                <w:rFonts w:cs="Arial"/>
                <w:szCs w:val="24"/>
              </w:rPr>
              <w:t xml:space="preserve">will be conducted </w:t>
            </w:r>
            <w:r w:rsidRPr="00BB1FBC">
              <w:rPr>
                <w:rFonts w:cs="Arial"/>
                <w:szCs w:val="24"/>
              </w:rPr>
              <w:t xml:space="preserve">under Lot 1 (Supply of </w:t>
            </w:r>
            <w:r w:rsidR="00A06B9B" w:rsidRPr="00BB1FBC">
              <w:rPr>
                <w:rFonts w:cs="Arial"/>
                <w:szCs w:val="24"/>
              </w:rPr>
              <w:t>B</w:t>
            </w:r>
            <w:r w:rsidR="00B239C2" w:rsidRPr="00BB1FBC">
              <w:rPr>
                <w:rFonts w:cs="Arial"/>
                <w:szCs w:val="24"/>
              </w:rPr>
              <w:t xml:space="preserve">rown </w:t>
            </w:r>
            <w:r w:rsidR="00A06B9B" w:rsidRPr="00BB1FBC">
              <w:rPr>
                <w:rFonts w:cs="Arial"/>
                <w:szCs w:val="24"/>
              </w:rPr>
              <w:t>R</w:t>
            </w:r>
            <w:r w:rsidR="00B239C2" w:rsidRPr="00BB1FBC">
              <w:rPr>
                <w:rFonts w:cs="Arial"/>
                <w:szCs w:val="24"/>
              </w:rPr>
              <w:t>ock</w:t>
            </w:r>
            <w:r w:rsidR="00A06B9B" w:rsidRPr="00BB1FBC">
              <w:rPr>
                <w:rFonts w:cs="Arial"/>
                <w:szCs w:val="24"/>
              </w:rPr>
              <w:t xml:space="preserve"> Salt).</w:t>
            </w:r>
            <w:r w:rsidRPr="00BB1FBC">
              <w:rPr>
                <w:rFonts w:cs="Arial"/>
                <w:szCs w:val="24"/>
              </w:rPr>
              <w:t xml:space="preserve">  </w:t>
            </w:r>
          </w:p>
          <w:p w14:paraId="751C6F8C" w14:textId="77777777" w:rsidR="0067300C" w:rsidRPr="00BB1FBC" w:rsidRDefault="0067300C" w:rsidP="00252FD0">
            <w:pPr>
              <w:jc w:val="both"/>
              <w:rPr>
                <w:rFonts w:cs="Arial"/>
                <w:color w:val="FF0000"/>
                <w:szCs w:val="24"/>
              </w:rPr>
            </w:pPr>
          </w:p>
        </w:tc>
      </w:tr>
      <w:tr w:rsidR="00A66C74" w14:paraId="6EE36D7E" w14:textId="77777777" w:rsidTr="00252FD0">
        <w:trPr>
          <w:trHeight w:val="1322"/>
        </w:trPr>
        <w:tc>
          <w:tcPr>
            <w:tcW w:w="9016" w:type="dxa"/>
            <w:shd w:val="clear" w:color="auto" w:fill="auto"/>
            <w:vAlign w:val="center"/>
          </w:tcPr>
          <w:p w14:paraId="44234B3B" w14:textId="7ED1BB50" w:rsidR="00254E50" w:rsidRPr="00BB1FBC" w:rsidRDefault="00AC5217" w:rsidP="00252FD0">
            <w:pPr>
              <w:jc w:val="both"/>
              <w:rPr>
                <w:rFonts w:cs="Arial"/>
                <w:b/>
                <w:szCs w:val="24"/>
              </w:rPr>
            </w:pPr>
            <w:r w:rsidRPr="00BB1FBC">
              <w:rPr>
                <w:rFonts w:cs="Arial"/>
                <w:b/>
                <w:szCs w:val="24"/>
              </w:rPr>
              <w:t>Evaluation</w:t>
            </w:r>
          </w:p>
          <w:p w14:paraId="2C6376CF" w14:textId="77777777" w:rsidR="00A06B9B" w:rsidRPr="00BB1FBC" w:rsidRDefault="00AC5217" w:rsidP="00252FD0">
            <w:pPr>
              <w:jc w:val="both"/>
              <w:rPr>
                <w:rFonts w:cs="Arial"/>
                <w:szCs w:val="24"/>
              </w:rPr>
            </w:pPr>
            <w:r w:rsidRPr="00BB1FBC">
              <w:rPr>
                <w:rFonts w:cs="Arial"/>
                <w:szCs w:val="24"/>
              </w:rPr>
              <w:t>The original framework was established by evaluating the suppliers against the following criteria:</w:t>
            </w:r>
          </w:p>
          <w:p w14:paraId="6DCA3898" w14:textId="4E9C86EE" w:rsidR="00A06B9B" w:rsidRPr="00BB1FBC" w:rsidRDefault="00AC5217" w:rsidP="00D12005">
            <w:pPr>
              <w:pStyle w:val="ListParagraph"/>
              <w:numPr>
                <w:ilvl w:val="0"/>
                <w:numId w:val="3"/>
              </w:numPr>
              <w:jc w:val="both"/>
              <w:rPr>
                <w:rFonts w:cs="Arial"/>
              </w:rPr>
            </w:pPr>
            <w:r w:rsidRPr="00BB1FBC">
              <w:rPr>
                <w:rFonts w:cs="Arial"/>
              </w:rPr>
              <w:t>15</w:t>
            </w:r>
            <w:r w:rsidR="00AA42BD" w:rsidRPr="00BB1FBC">
              <w:rPr>
                <w:rFonts w:cs="Arial"/>
              </w:rPr>
              <w:t>% quality</w:t>
            </w:r>
            <w:r w:rsidRPr="00BB1FBC">
              <w:rPr>
                <w:rFonts w:cs="Arial"/>
              </w:rPr>
              <w:t xml:space="preserve"> </w:t>
            </w:r>
          </w:p>
          <w:p w14:paraId="095A96E3" w14:textId="65F124D0" w:rsidR="00A06B9B" w:rsidRPr="00BB1FBC" w:rsidRDefault="00AC5217" w:rsidP="00D12005">
            <w:pPr>
              <w:pStyle w:val="ListParagraph"/>
              <w:numPr>
                <w:ilvl w:val="0"/>
                <w:numId w:val="3"/>
              </w:numPr>
              <w:jc w:val="both"/>
              <w:rPr>
                <w:rFonts w:cs="Arial"/>
              </w:rPr>
            </w:pPr>
            <w:r w:rsidRPr="00BB1FBC">
              <w:rPr>
                <w:rFonts w:cs="Arial"/>
              </w:rPr>
              <w:t>15% delivery and customer service</w:t>
            </w:r>
          </w:p>
          <w:p w14:paraId="01ADBF80" w14:textId="25DE5E25" w:rsidR="004244F7" w:rsidRPr="00BB1FBC" w:rsidRDefault="00AC5217" w:rsidP="00D12005">
            <w:pPr>
              <w:pStyle w:val="ListParagraph"/>
              <w:numPr>
                <w:ilvl w:val="0"/>
                <w:numId w:val="3"/>
              </w:numPr>
              <w:jc w:val="both"/>
              <w:rPr>
                <w:rFonts w:cs="Arial"/>
              </w:rPr>
            </w:pPr>
            <w:r w:rsidRPr="00BB1FBC">
              <w:rPr>
                <w:rFonts w:cs="Arial"/>
              </w:rPr>
              <w:t xml:space="preserve">10% </w:t>
            </w:r>
            <w:r w:rsidR="0085039A" w:rsidRPr="00BB1FBC">
              <w:rPr>
                <w:rFonts w:cs="Arial"/>
              </w:rPr>
              <w:t>social value</w:t>
            </w:r>
          </w:p>
          <w:p w14:paraId="1909F957" w14:textId="5ECE6B0F" w:rsidR="0067300C" w:rsidRPr="00BB1FBC" w:rsidRDefault="00AC5217" w:rsidP="004244F7">
            <w:pPr>
              <w:pStyle w:val="ListParagraph"/>
              <w:numPr>
                <w:ilvl w:val="0"/>
                <w:numId w:val="3"/>
              </w:numPr>
              <w:jc w:val="both"/>
              <w:rPr>
                <w:rFonts w:cs="Arial"/>
              </w:rPr>
            </w:pPr>
            <w:r w:rsidRPr="00BB1FBC">
              <w:rPr>
                <w:rFonts w:cs="Arial"/>
              </w:rPr>
              <w:t>60% price</w:t>
            </w:r>
          </w:p>
          <w:p w14:paraId="2EAF4F74" w14:textId="77777777" w:rsidR="00AA42BD" w:rsidRPr="00BB1FBC" w:rsidRDefault="00AA42BD" w:rsidP="00252FD0">
            <w:pPr>
              <w:jc w:val="both"/>
              <w:rPr>
                <w:rFonts w:cs="Arial"/>
                <w:szCs w:val="24"/>
              </w:rPr>
            </w:pPr>
          </w:p>
          <w:p w14:paraId="1687EE9C" w14:textId="1D83B3E2" w:rsidR="00AA42BD" w:rsidRPr="00BB1FBC" w:rsidRDefault="00AC5217" w:rsidP="00252FD0">
            <w:pPr>
              <w:jc w:val="both"/>
              <w:rPr>
                <w:rFonts w:cs="Arial"/>
                <w:szCs w:val="24"/>
              </w:rPr>
            </w:pPr>
            <w:r w:rsidRPr="00BB1FBC">
              <w:rPr>
                <w:rFonts w:cs="Arial"/>
                <w:szCs w:val="24"/>
              </w:rPr>
              <w:t xml:space="preserve">The mini competition </w:t>
            </w:r>
            <w:r w:rsidR="00312DE6" w:rsidRPr="00BB1FBC">
              <w:rPr>
                <w:rFonts w:cs="Arial"/>
                <w:szCs w:val="24"/>
              </w:rPr>
              <w:t xml:space="preserve">will </w:t>
            </w:r>
            <w:r w:rsidRPr="00BB1FBC">
              <w:rPr>
                <w:rFonts w:cs="Arial"/>
                <w:szCs w:val="24"/>
              </w:rPr>
              <w:t xml:space="preserve">be completed by YPO </w:t>
            </w:r>
            <w:r w:rsidR="00312DE6" w:rsidRPr="00BB1FBC">
              <w:rPr>
                <w:rFonts w:cs="Arial"/>
                <w:szCs w:val="24"/>
              </w:rPr>
              <w:t xml:space="preserve">and </w:t>
            </w:r>
            <w:r w:rsidRPr="00BB1FBC">
              <w:rPr>
                <w:rFonts w:cs="Arial"/>
                <w:szCs w:val="24"/>
              </w:rPr>
              <w:t xml:space="preserve">will be evaluated on 100% price.  </w:t>
            </w:r>
          </w:p>
          <w:p w14:paraId="77D98580" w14:textId="77777777" w:rsidR="00254E50" w:rsidRPr="00BB1FBC" w:rsidRDefault="00254E50" w:rsidP="00AA42BD">
            <w:pPr>
              <w:jc w:val="both"/>
              <w:rPr>
                <w:rFonts w:cs="Arial"/>
                <w:color w:val="FF0000"/>
                <w:szCs w:val="24"/>
              </w:rPr>
            </w:pPr>
          </w:p>
        </w:tc>
      </w:tr>
      <w:tr w:rsidR="00A66C74" w14:paraId="0E82570B" w14:textId="77777777" w:rsidTr="008C0402">
        <w:trPr>
          <w:trHeight w:val="1408"/>
        </w:trPr>
        <w:tc>
          <w:tcPr>
            <w:tcW w:w="9016" w:type="dxa"/>
            <w:shd w:val="clear" w:color="auto" w:fill="auto"/>
          </w:tcPr>
          <w:p w14:paraId="25EC6D7E" w14:textId="77777777" w:rsidR="00254E50" w:rsidRPr="00BB1FBC" w:rsidRDefault="00AC5217" w:rsidP="00252FD0">
            <w:pPr>
              <w:jc w:val="both"/>
              <w:rPr>
                <w:rFonts w:cs="Arial"/>
                <w:b/>
                <w:szCs w:val="24"/>
              </w:rPr>
            </w:pPr>
            <w:r w:rsidRPr="00BB1FBC">
              <w:rPr>
                <w:rFonts w:cs="Arial"/>
                <w:b/>
                <w:szCs w:val="24"/>
              </w:rPr>
              <w:t>Contract Detail</w:t>
            </w:r>
          </w:p>
          <w:p w14:paraId="6259EC53" w14:textId="54E5C0AF" w:rsidR="00B239C2" w:rsidRPr="00BB1FBC" w:rsidRDefault="00AC5217" w:rsidP="00303811">
            <w:pPr>
              <w:jc w:val="both"/>
              <w:rPr>
                <w:szCs w:val="24"/>
              </w:rPr>
            </w:pPr>
            <w:r w:rsidRPr="00BB1FBC">
              <w:rPr>
                <w:szCs w:val="24"/>
              </w:rPr>
              <w:t xml:space="preserve">Since 1988, the County Council has operated an 'in season' stock replenishment system, whereby the salt supplier maintains stock levels between pre-defined minimum and maximum levels during the winter.  </w:t>
            </w:r>
            <w:r w:rsidR="00AA42BD" w:rsidRPr="00BB1FBC">
              <w:rPr>
                <w:szCs w:val="24"/>
              </w:rPr>
              <w:t xml:space="preserve">Every local highway authority should have appropriate salt stockholding to meet defined resilience standards, all in line with current best practice. </w:t>
            </w:r>
          </w:p>
          <w:p w14:paraId="2ECC0671" w14:textId="77777777" w:rsidR="00B239C2" w:rsidRPr="00BB1FBC" w:rsidRDefault="00B239C2" w:rsidP="00AA42BD">
            <w:pPr>
              <w:rPr>
                <w:szCs w:val="24"/>
              </w:rPr>
            </w:pPr>
          </w:p>
          <w:p w14:paraId="1EDCA1F9" w14:textId="5F4348CE" w:rsidR="00A06B9B" w:rsidRPr="00BB1FBC" w:rsidRDefault="00AC5217" w:rsidP="00303811">
            <w:pPr>
              <w:jc w:val="both"/>
              <w:rPr>
                <w:szCs w:val="24"/>
              </w:rPr>
            </w:pPr>
            <w:r w:rsidRPr="00BB1FBC">
              <w:rPr>
                <w:szCs w:val="24"/>
              </w:rPr>
              <w:t xml:space="preserve">The County Council stockpiles </w:t>
            </w:r>
            <w:r w:rsidR="00A00799" w:rsidRPr="00BB1FBC">
              <w:rPr>
                <w:szCs w:val="24"/>
              </w:rPr>
              <w:t>around</w:t>
            </w:r>
            <w:r w:rsidRPr="00BB1FBC">
              <w:rPr>
                <w:szCs w:val="24"/>
              </w:rPr>
              <w:t xml:space="preserve"> </w:t>
            </w:r>
            <w:r w:rsidR="00A00799" w:rsidRPr="00BB1FBC">
              <w:rPr>
                <w:szCs w:val="24"/>
              </w:rPr>
              <w:t>24</w:t>
            </w:r>
            <w:r w:rsidRPr="00BB1FBC">
              <w:rPr>
                <w:szCs w:val="24"/>
              </w:rPr>
              <w:t>,000 tonnes of salt including strategic reserves, to cover all po</w:t>
            </w:r>
            <w:r w:rsidRPr="00BB1FBC">
              <w:rPr>
                <w:szCs w:val="24"/>
              </w:rPr>
              <w:t>tential eventualities.  Salt is treated with 3% '</w:t>
            </w:r>
            <w:proofErr w:type="spellStart"/>
            <w:r w:rsidRPr="00BB1FBC">
              <w:rPr>
                <w:szCs w:val="24"/>
              </w:rPr>
              <w:t>Safecote</w:t>
            </w:r>
            <w:proofErr w:type="spellEnd"/>
            <w:r w:rsidRPr="00BB1FBC">
              <w:rPr>
                <w:szCs w:val="24"/>
              </w:rPr>
              <w:t>'</w:t>
            </w:r>
            <w:r w:rsidR="00A00799" w:rsidRPr="00BB1FBC">
              <w:rPr>
                <w:szCs w:val="24"/>
              </w:rPr>
              <w:t xml:space="preserve"> which </w:t>
            </w:r>
            <w:r w:rsidR="00D12005" w:rsidRPr="00BB1FBC">
              <w:rPr>
                <w:szCs w:val="24"/>
              </w:rPr>
              <w:t>provides better</w:t>
            </w:r>
            <w:r w:rsidR="00B239C2" w:rsidRPr="00BB1FBC">
              <w:rPr>
                <w:szCs w:val="24"/>
              </w:rPr>
              <w:t xml:space="preserve"> distribut</w:t>
            </w:r>
            <w:r w:rsidRPr="00BB1FBC">
              <w:rPr>
                <w:szCs w:val="24"/>
              </w:rPr>
              <w:t>ion</w:t>
            </w:r>
            <w:r w:rsidR="00B239C2" w:rsidRPr="00BB1FBC">
              <w:rPr>
                <w:szCs w:val="24"/>
              </w:rPr>
              <w:t xml:space="preserve"> on the road and removes the wind-blown problems associated with untreated salt. </w:t>
            </w:r>
          </w:p>
          <w:p w14:paraId="283B0799" w14:textId="77777777" w:rsidR="00A06B9B" w:rsidRPr="00BB1FBC" w:rsidRDefault="00A06B9B" w:rsidP="00303811">
            <w:pPr>
              <w:jc w:val="both"/>
              <w:rPr>
                <w:color w:val="FF0000"/>
                <w:szCs w:val="24"/>
              </w:rPr>
            </w:pPr>
          </w:p>
          <w:p w14:paraId="641FF22B" w14:textId="629D35E1" w:rsidR="00B239C2" w:rsidRPr="00BB1FBC" w:rsidRDefault="00AC5217" w:rsidP="00303811">
            <w:pPr>
              <w:jc w:val="both"/>
              <w:rPr>
                <w:szCs w:val="24"/>
              </w:rPr>
            </w:pPr>
            <w:r w:rsidRPr="00BB1FBC">
              <w:rPr>
                <w:szCs w:val="24"/>
              </w:rPr>
              <w:t xml:space="preserve">The majority of requirements under this contract </w:t>
            </w:r>
            <w:r w:rsidR="00A06B9B" w:rsidRPr="00BB1FBC">
              <w:rPr>
                <w:szCs w:val="24"/>
              </w:rPr>
              <w:t xml:space="preserve">will be </w:t>
            </w:r>
            <w:r w:rsidRPr="00BB1FBC">
              <w:rPr>
                <w:szCs w:val="24"/>
              </w:rPr>
              <w:t>for 6mm brown treated r</w:t>
            </w:r>
            <w:r w:rsidRPr="00BB1FBC">
              <w:rPr>
                <w:szCs w:val="24"/>
              </w:rPr>
              <w:t>ock salt, however</w:t>
            </w:r>
            <w:r w:rsidR="00A06B9B" w:rsidRPr="00BB1FBC">
              <w:rPr>
                <w:szCs w:val="24"/>
              </w:rPr>
              <w:t>,</w:t>
            </w:r>
            <w:r w:rsidRPr="00BB1FBC">
              <w:rPr>
                <w:szCs w:val="24"/>
              </w:rPr>
              <w:t xml:space="preserve"> </w:t>
            </w:r>
            <w:r w:rsidR="00A06B9B" w:rsidRPr="00BB1FBC">
              <w:rPr>
                <w:szCs w:val="24"/>
              </w:rPr>
              <w:t>the framework</w:t>
            </w:r>
            <w:r w:rsidRPr="00BB1FBC">
              <w:rPr>
                <w:szCs w:val="24"/>
              </w:rPr>
              <w:t xml:space="preserve"> will also allow the purchase of 6mm brown untreated rock salt to replenish</w:t>
            </w:r>
            <w:r w:rsidR="00A00799" w:rsidRPr="00BB1FBC">
              <w:rPr>
                <w:szCs w:val="24"/>
              </w:rPr>
              <w:t xml:space="preserve"> grit bins and salt piles</w:t>
            </w:r>
            <w:r w:rsidRPr="00BB1FBC">
              <w:rPr>
                <w:szCs w:val="24"/>
              </w:rPr>
              <w:t>.  T</w:t>
            </w:r>
            <w:r w:rsidR="002F4BD3" w:rsidRPr="00BB1FBC">
              <w:rPr>
                <w:szCs w:val="24"/>
              </w:rPr>
              <w:t>h</w:t>
            </w:r>
            <w:r w:rsidRPr="00BB1FBC">
              <w:rPr>
                <w:szCs w:val="24"/>
              </w:rPr>
              <w:t>e County Council</w:t>
            </w:r>
            <w:r w:rsidR="00AA42BD" w:rsidRPr="00BB1FBC">
              <w:rPr>
                <w:szCs w:val="24"/>
              </w:rPr>
              <w:t xml:space="preserve"> currently use a </w:t>
            </w:r>
            <w:r w:rsidR="00497F4D" w:rsidRPr="00BB1FBC">
              <w:rPr>
                <w:szCs w:val="24"/>
              </w:rPr>
              <w:lastRenderedPageBreak/>
              <w:t>traditional scheme</w:t>
            </w:r>
            <w:r w:rsidR="00AA42BD" w:rsidRPr="00BB1FBC">
              <w:rPr>
                <w:szCs w:val="24"/>
              </w:rPr>
              <w:t xml:space="preserve"> which allows for </w:t>
            </w:r>
            <w:r w:rsidR="00497F4D" w:rsidRPr="00BB1FBC">
              <w:rPr>
                <w:szCs w:val="24"/>
              </w:rPr>
              <w:t>the County Council to manage and monitor its stock and replenish via placing orders with the supplier as and when required</w:t>
            </w:r>
            <w:r w:rsidR="00AA42BD" w:rsidRPr="00BB1FBC">
              <w:rPr>
                <w:szCs w:val="24"/>
              </w:rPr>
              <w:t xml:space="preserve">.  </w:t>
            </w:r>
          </w:p>
          <w:p w14:paraId="389A42A6" w14:textId="77777777" w:rsidR="00B239C2" w:rsidRPr="00BB1FBC" w:rsidRDefault="00B239C2" w:rsidP="00AA42BD">
            <w:pPr>
              <w:rPr>
                <w:color w:val="FF0000"/>
                <w:szCs w:val="24"/>
              </w:rPr>
            </w:pPr>
          </w:p>
          <w:p w14:paraId="0595B5E0" w14:textId="77777777" w:rsidR="00A06B9B" w:rsidRPr="00BB1FBC" w:rsidRDefault="00AC5217" w:rsidP="00303811">
            <w:pPr>
              <w:jc w:val="both"/>
              <w:rPr>
                <w:szCs w:val="24"/>
              </w:rPr>
            </w:pPr>
            <w:r w:rsidRPr="00BB1FBC">
              <w:rPr>
                <w:szCs w:val="24"/>
              </w:rPr>
              <w:t xml:space="preserve">The current contract is a call off contract under the Yorkshire Purchasing Organisation (YPO) framework agreement with Compass Minerals.  </w:t>
            </w:r>
            <w:r w:rsidR="00B239C2" w:rsidRPr="00BB1FBC">
              <w:rPr>
                <w:szCs w:val="24"/>
              </w:rPr>
              <w:t>This contract was completed via a mini competition based on 100% price.  In previous years this supply has been tendered by the County Council however this resulted in an increase in annual costs and minimal interest</w:t>
            </w:r>
            <w:r w:rsidRPr="00BB1FBC">
              <w:rPr>
                <w:szCs w:val="24"/>
              </w:rPr>
              <w:t xml:space="preserve"> from the market</w:t>
            </w:r>
            <w:r w:rsidR="00B239C2" w:rsidRPr="00BB1FBC">
              <w:rPr>
                <w:szCs w:val="24"/>
              </w:rPr>
              <w:t xml:space="preserve"> due to small volumes of requirement for the large mining and distribution organisations.    </w:t>
            </w:r>
          </w:p>
          <w:p w14:paraId="4B74628F" w14:textId="77777777" w:rsidR="00A06B9B" w:rsidRPr="00BB1FBC" w:rsidRDefault="00A06B9B" w:rsidP="00303811">
            <w:pPr>
              <w:jc w:val="both"/>
              <w:rPr>
                <w:color w:val="FF0000"/>
                <w:szCs w:val="24"/>
              </w:rPr>
            </w:pPr>
          </w:p>
          <w:p w14:paraId="10FBAAC8" w14:textId="3F5BABD7" w:rsidR="00B239C2" w:rsidRPr="00BB1FBC" w:rsidRDefault="00AC5217" w:rsidP="00303811">
            <w:pPr>
              <w:jc w:val="both"/>
              <w:rPr>
                <w:szCs w:val="24"/>
              </w:rPr>
            </w:pPr>
            <w:r w:rsidRPr="00BB1FBC">
              <w:rPr>
                <w:szCs w:val="24"/>
              </w:rPr>
              <w:t>The use of a pre-established</w:t>
            </w:r>
            <w:r w:rsidR="0073534F" w:rsidRPr="00BB1FBC">
              <w:rPr>
                <w:szCs w:val="24"/>
              </w:rPr>
              <w:t>,</w:t>
            </w:r>
            <w:r w:rsidRPr="00BB1FBC">
              <w:rPr>
                <w:szCs w:val="24"/>
              </w:rPr>
              <w:t xml:space="preserve"> compliant framework removes the need for the County Council to complete its own tender exercise, freeing up resources, ensuing robust pre-qualification of suppliers whilst also providing competiti</w:t>
            </w:r>
            <w:r w:rsidRPr="00BB1FBC">
              <w:rPr>
                <w:szCs w:val="24"/>
              </w:rPr>
              <w:t>ve rates through aggregated volumes.  The use of the Yorkshire Purchasing Organisation (YPO) Winter Maintenance Framework has been co</w:t>
            </w:r>
            <w:r w:rsidR="00A06B9B" w:rsidRPr="00BB1FBC">
              <w:rPr>
                <w:szCs w:val="24"/>
              </w:rPr>
              <w:t>mpared to other similar 3</w:t>
            </w:r>
            <w:r w:rsidR="00A06B9B" w:rsidRPr="00BB1FBC">
              <w:rPr>
                <w:szCs w:val="24"/>
                <w:vertAlign w:val="superscript"/>
              </w:rPr>
              <w:t>rd</w:t>
            </w:r>
            <w:r w:rsidR="00A06B9B" w:rsidRPr="00BB1FBC">
              <w:rPr>
                <w:szCs w:val="24"/>
              </w:rPr>
              <w:t xml:space="preserve"> party frameworks </w:t>
            </w:r>
            <w:r w:rsidRPr="00BB1FBC">
              <w:rPr>
                <w:szCs w:val="24"/>
              </w:rPr>
              <w:t xml:space="preserve">and </w:t>
            </w:r>
            <w:r w:rsidR="00D12005" w:rsidRPr="00BB1FBC">
              <w:rPr>
                <w:szCs w:val="24"/>
              </w:rPr>
              <w:t>was deemed</w:t>
            </w:r>
            <w:r w:rsidRPr="00BB1FBC">
              <w:rPr>
                <w:szCs w:val="24"/>
              </w:rPr>
              <w:t xml:space="preserve"> the most suitable option for the County Council</w:t>
            </w:r>
            <w:r w:rsidR="00A06B9B" w:rsidRPr="00BB1FBC">
              <w:rPr>
                <w:szCs w:val="24"/>
              </w:rPr>
              <w:t>.</w:t>
            </w:r>
            <w:r w:rsidRPr="00BB1FBC">
              <w:rPr>
                <w:szCs w:val="24"/>
              </w:rPr>
              <w:t xml:space="preserve"> </w:t>
            </w:r>
          </w:p>
          <w:p w14:paraId="21D37148" w14:textId="77777777" w:rsidR="00497F4D" w:rsidRPr="00BB1FBC" w:rsidRDefault="00497F4D" w:rsidP="00303811">
            <w:pPr>
              <w:jc w:val="both"/>
              <w:rPr>
                <w:color w:val="FF0000"/>
                <w:szCs w:val="24"/>
              </w:rPr>
            </w:pPr>
          </w:p>
          <w:p w14:paraId="47AD9A97" w14:textId="77777777" w:rsidR="00367F7F" w:rsidRPr="00BB1FBC" w:rsidRDefault="00AC5217" w:rsidP="00367F7F">
            <w:pPr>
              <w:jc w:val="both"/>
              <w:rPr>
                <w:rFonts w:cs="Arial"/>
                <w:szCs w:val="24"/>
              </w:rPr>
            </w:pPr>
            <w:r w:rsidRPr="00BB1FBC">
              <w:rPr>
                <w:rFonts w:cs="Arial"/>
                <w:szCs w:val="24"/>
              </w:rPr>
              <w:t>The contract value will fluctuate dependent on weather conditions.  The previous 4 year's spend is outlined below:</w:t>
            </w:r>
          </w:p>
          <w:p w14:paraId="6A107EFA" w14:textId="77777777" w:rsidR="00367F7F" w:rsidRPr="00BB1FBC" w:rsidRDefault="00367F7F" w:rsidP="00367F7F">
            <w:pPr>
              <w:jc w:val="both"/>
              <w:rPr>
                <w:rFonts w:cs="Arial"/>
                <w:color w:val="FF0000"/>
                <w:szCs w:val="24"/>
              </w:rPr>
            </w:pPr>
          </w:p>
          <w:p w14:paraId="15E41AC9" w14:textId="28B952E4" w:rsidR="00367F7F" w:rsidRPr="00BB1FBC" w:rsidRDefault="00AC5217" w:rsidP="00367F7F">
            <w:pPr>
              <w:jc w:val="both"/>
              <w:rPr>
                <w:rFonts w:cs="Arial"/>
                <w:szCs w:val="24"/>
              </w:rPr>
            </w:pPr>
            <w:r w:rsidRPr="00BB1FBC">
              <w:rPr>
                <w:rFonts w:cs="Arial"/>
                <w:szCs w:val="24"/>
              </w:rPr>
              <w:t>20</w:t>
            </w:r>
            <w:r w:rsidR="002F4BD3" w:rsidRPr="00BB1FBC">
              <w:rPr>
                <w:rFonts w:cs="Arial"/>
                <w:szCs w:val="24"/>
              </w:rPr>
              <w:t>18</w:t>
            </w:r>
            <w:r w:rsidRPr="00BB1FBC">
              <w:rPr>
                <w:rFonts w:cs="Arial"/>
                <w:szCs w:val="24"/>
              </w:rPr>
              <w:t xml:space="preserve"> – 20</w:t>
            </w:r>
            <w:r w:rsidR="002F4BD3" w:rsidRPr="00BB1FBC">
              <w:rPr>
                <w:rFonts w:cs="Arial"/>
                <w:szCs w:val="24"/>
              </w:rPr>
              <w:t>19</w:t>
            </w:r>
            <w:r w:rsidRPr="00BB1FBC">
              <w:rPr>
                <w:rFonts w:cs="Arial"/>
                <w:szCs w:val="24"/>
              </w:rPr>
              <w:t xml:space="preserve">   £</w:t>
            </w:r>
            <w:r w:rsidR="008418C8" w:rsidRPr="00BB1FBC">
              <w:rPr>
                <w:rFonts w:cs="Arial"/>
                <w:szCs w:val="24"/>
              </w:rPr>
              <w:t>1,204,843.19</w:t>
            </w:r>
          </w:p>
          <w:p w14:paraId="6AE43BF3" w14:textId="79B79E4C" w:rsidR="00367F7F" w:rsidRPr="00BB1FBC" w:rsidRDefault="00AC5217" w:rsidP="00367F7F">
            <w:pPr>
              <w:jc w:val="both"/>
              <w:rPr>
                <w:rFonts w:cs="Arial"/>
                <w:szCs w:val="24"/>
              </w:rPr>
            </w:pPr>
            <w:r w:rsidRPr="00BB1FBC">
              <w:rPr>
                <w:rFonts w:cs="Arial"/>
                <w:szCs w:val="24"/>
              </w:rPr>
              <w:t>20</w:t>
            </w:r>
            <w:r w:rsidR="008418C8" w:rsidRPr="00BB1FBC">
              <w:rPr>
                <w:rFonts w:cs="Arial"/>
                <w:szCs w:val="24"/>
              </w:rPr>
              <w:t>19</w:t>
            </w:r>
            <w:r w:rsidRPr="00BB1FBC">
              <w:rPr>
                <w:rFonts w:cs="Arial"/>
                <w:szCs w:val="24"/>
              </w:rPr>
              <w:t xml:space="preserve"> – 20</w:t>
            </w:r>
            <w:r w:rsidR="008418C8" w:rsidRPr="00BB1FBC">
              <w:rPr>
                <w:rFonts w:cs="Arial"/>
                <w:szCs w:val="24"/>
              </w:rPr>
              <w:t>20</w:t>
            </w:r>
            <w:r w:rsidRPr="00BB1FBC">
              <w:rPr>
                <w:rFonts w:cs="Arial"/>
                <w:szCs w:val="24"/>
              </w:rPr>
              <w:t xml:space="preserve">   £   </w:t>
            </w:r>
            <w:r w:rsidR="00157F66" w:rsidRPr="00BB1FBC">
              <w:rPr>
                <w:rFonts w:cs="Arial"/>
                <w:szCs w:val="24"/>
              </w:rPr>
              <w:t>732,112.89</w:t>
            </w:r>
          </w:p>
          <w:p w14:paraId="50DCDC8D" w14:textId="12493B7B" w:rsidR="00367F7F" w:rsidRPr="00BB1FBC" w:rsidRDefault="00AC5217" w:rsidP="00367F7F">
            <w:pPr>
              <w:jc w:val="both"/>
              <w:rPr>
                <w:rFonts w:cs="Arial"/>
                <w:szCs w:val="24"/>
              </w:rPr>
            </w:pPr>
            <w:r w:rsidRPr="00BB1FBC">
              <w:rPr>
                <w:rFonts w:cs="Arial"/>
                <w:szCs w:val="24"/>
              </w:rPr>
              <w:t>20</w:t>
            </w:r>
            <w:r w:rsidR="00157F66" w:rsidRPr="00BB1FBC">
              <w:rPr>
                <w:rFonts w:cs="Arial"/>
                <w:szCs w:val="24"/>
              </w:rPr>
              <w:t>20</w:t>
            </w:r>
            <w:r w:rsidRPr="00BB1FBC">
              <w:rPr>
                <w:rFonts w:cs="Arial"/>
                <w:szCs w:val="24"/>
              </w:rPr>
              <w:t xml:space="preserve"> – 20</w:t>
            </w:r>
            <w:r w:rsidR="00157F66" w:rsidRPr="00BB1FBC">
              <w:rPr>
                <w:rFonts w:cs="Arial"/>
                <w:szCs w:val="24"/>
              </w:rPr>
              <w:t>21</w:t>
            </w:r>
            <w:r w:rsidRPr="00BB1FBC">
              <w:rPr>
                <w:rFonts w:cs="Arial"/>
                <w:szCs w:val="24"/>
              </w:rPr>
              <w:t xml:space="preserve">   £</w:t>
            </w:r>
            <w:r w:rsidR="00157F66" w:rsidRPr="00BB1FBC">
              <w:rPr>
                <w:rFonts w:cs="Arial"/>
                <w:szCs w:val="24"/>
              </w:rPr>
              <w:t>1,430,026.33</w:t>
            </w:r>
          </w:p>
          <w:p w14:paraId="4405F00E" w14:textId="30DA5A4A" w:rsidR="00367F7F" w:rsidRPr="00BB1FBC" w:rsidRDefault="00AC5217" w:rsidP="00367F7F">
            <w:pPr>
              <w:jc w:val="both"/>
              <w:rPr>
                <w:rFonts w:cs="Arial"/>
                <w:szCs w:val="24"/>
              </w:rPr>
            </w:pPr>
            <w:r w:rsidRPr="00BB1FBC">
              <w:rPr>
                <w:rFonts w:cs="Arial"/>
                <w:szCs w:val="24"/>
              </w:rPr>
              <w:t>20</w:t>
            </w:r>
            <w:r w:rsidR="00967047" w:rsidRPr="00BB1FBC">
              <w:rPr>
                <w:rFonts w:cs="Arial"/>
                <w:szCs w:val="24"/>
              </w:rPr>
              <w:t>21</w:t>
            </w:r>
            <w:r w:rsidRPr="00BB1FBC">
              <w:rPr>
                <w:rFonts w:cs="Arial"/>
                <w:szCs w:val="24"/>
              </w:rPr>
              <w:t xml:space="preserve"> – 20</w:t>
            </w:r>
            <w:r w:rsidR="00967047" w:rsidRPr="00BB1FBC">
              <w:rPr>
                <w:rFonts w:cs="Arial"/>
                <w:szCs w:val="24"/>
              </w:rPr>
              <w:t>22</w:t>
            </w:r>
            <w:r w:rsidRPr="00BB1FBC">
              <w:rPr>
                <w:rFonts w:cs="Arial"/>
                <w:szCs w:val="24"/>
              </w:rPr>
              <w:t xml:space="preserve">   £</w:t>
            </w:r>
            <w:r w:rsidR="00967047" w:rsidRPr="00BB1FBC">
              <w:rPr>
                <w:rFonts w:cs="Arial"/>
                <w:szCs w:val="24"/>
              </w:rPr>
              <w:t xml:space="preserve">   653,137.11 (</w:t>
            </w:r>
            <w:r w:rsidR="00493FC3" w:rsidRPr="00BB1FBC">
              <w:rPr>
                <w:rFonts w:cs="Arial"/>
                <w:szCs w:val="24"/>
              </w:rPr>
              <w:t>to January 2022</w:t>
            </w:r>
            <w:r w:rsidR="00967047" w:rsidRPr="00BB1FBC">
              <w:rPr>
                <w:rFonts w:cs="Arial"/>
                <w:szCs w:val="24"/>
              </w:rPr>
              <w:t>)</w:t>
            </w:r>
          </w:p>
          <w:p w14:paraId="32D712F7" w14:textId="77777777" w:rsidR="00367F7F" w:rsidRPr="00BB1FBC" w:rsidRDefault="00367F7F" w:rsidP="00367F7F">
            <w:pPr>
              <w:jc w:val="both"/>
              <w:rPr>
                <w:rFonts w:cs="Arial"/>
                <w:color w:val="FF0000"/>
                <w:szCs w:val="24"/>
              </w:rPr>
            </w:pPr>
          </w:p>
          <w:p w14:paraId="7FFF6B50" w14:textId="60CC4169" w:rsidR="00497F4D" w:rsidRPr="00BB1FBC" w:rsidRDefault="00AC5217" w:rsidP="00303811">
            <w:pPr>
              <w:jc w:val="both"/>
              <w:rPr>
                <w:szCs w:val="24"/>
              </w:rPr>
            </w:pPr>
            <w:r w:rsidRPr="00BB1FBC">
              <w:rPr>
                <w:szCs w:val="24"/>
              </w:rPr>
              <w:t>It is e</w:t>
            </w:r>
            <w:r w:rsidRPr="00BB1FBC">
              <w:rPr>
                <w:szCs w:val="24"/>
              </w:rPr>
              <w:t>xpected the contract value (over a 4</w:t>
            </w:r>
            <w:r>
              <w:rPr>
                <w:szCs w:val="24"/>
              </w:rPr>
              <w:t xml:space="preserve"> </w:t>
            </w:r>
            <w:r w:rsidRPr="00BB1FBC">
              <w:rPr>
                <w:szCs w:val="24"/>
              </w:rPr>
              <w:t>year term) will be between £</w:t>
            </w:r>
            <w:r w:rsidR="00A06B9B" w:rsidRPr="00BB1FBC">
              <w:rPr>
                <w:szCs w:val="24"/>
              </w:rPr>
              <w:t>4,000,000</w:t>
            </w:r>
            <w:r w:rsidRPr="00BB1FBC">
              <w:rPr>
                <w:szCs w:val="24"/>
              </w:rPr>
              <w:t xml:space="preserve"> and £8,000,000.</w:t>
            </w:r>
          </w:p>
          <w:p w14:paraId="04C4D740" w14:textId="77777777" w:rsidR="006530D5" w:rsidRPr="00BB1FBC" w:rsidRDefault="006530D5" w:rsidP="00252FD0">
            <w:pPr>
              <w:jc w:val="both"/>
              <w:rPr>
                <w:rFonts w:cs="Arial"/>
                <w:color w:val="FF0000"/>
                <w:szCs w:val="24"/>
              </w:rPr>
            </w:pPr>
          </w:p>
        </w:tc>
      </w:tr>
    </w:tbl>
    <w:p w14:paraId="3951FB97" w14:textId="074EC8C9" w:rsidR="00C463E3" w:rsidRPr="00BB1FBC" w:rsidRDefault="00C463E3" w:rsidP="00254E50">
      <w:pPr>
        <w:rPr>
          <w:szCs w:val="24"/>
        </w:rPr>
      </w:pPr>
    </w:p>
    <w:p w14:paraId="74797C11" w14:textId="77777777" w:rsidR="00C463E3" w:rsidRPr="00BB1FBC" w:rsidRDefault="00AC5217">
      <w:pPr>
        <w:spacing w:after="160" w:line="259" w:lineRule="auto"/>
        <w:rPr>
          <w:szCs w:val="24"/>
        </w:rPr>
      </w:pPr>
      <w:r w:rsidRPr="00BB1FBC">
        <w:rPr>
          <w:szCs w:val="24"/>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66C74" w14:paraId="0D12957A" w14:textId="77777777" w:rsidTr="009769B6">
        <w:trPr>
          <w:trHeight w:val="522"/>
        </w:trPr>
        <w:tc>
          <w:tcPr>
            <w:tcW w:w="10060" w:type="dxa"/>
            <w:shd w:val="clear" w:color="auto" w:fill="auto"/>
          </w:tcPr>
          <w:p w14:paraId="586A3BBC" w14:textId="77777777" w:rsidR="002E6AF2" w:rsidRPr="00BB1FBC" w:rsidRDefault="00AC5217" w:rsidP="009769B6">
            <w:pPr>
              <w:pStyle w:val="NoSpacing"/>
              <w:rPr>
                <w:b/>
                <w:color w:val="000000" w:themeColor="text1"/>
              </w:rPr>
            </w:pPr>
            <w:r w:rsidRPr="00BB1FBC">
              <w:rPr>
                <w:b/>
                <w:color w:val="000000" w:themeColor="text1"/>
              </w:rPr>
              <w:lastRenderedPageBreak/>
              <w:t>Procurement Title:</w:t>
            </w:r>
          </w:p>
          <w:p w14:paraId="7E826D91" w14:textId="77777777" w:rsidR="002E6AF2" w:rsidRPr="00BB1FBC" w:rsidRDefault="00AC5217" w:rsidP="009769B6">
            <w:pPr>
              <w:pStyle w:val="NoSpacing"/>
              <w:rPr>
                <w:color w:val="000000" w:themeColor="text1"/>
              </w:rPr>
            </w:pPr>
            <w:bookmarkStart w:id="0" w:name="_Hlk96937215"/>
            <w:r w:rsidRPr="00BB1FBC">
              <w:rPr>
                <w:color w:val="000000" w:themeColor="text1"/>
              </w:rPr>
              <w:t xml:space="preserve">The Provision of Waste Transport Services at Lancashire's Household Waste Recycling Centres (HWRCs). </w:t>
            </w:r>
          </w:p>
          <w:bookmarkEnd w:id="0"/>
          <w:p w14:paraId="6CB23E72" w14:textId="77777777" w:rsidR="002E6AF2" w:rsidRPr="00BB1FBC" w:rsidRDefault="002E6AF2" w:rsidP="009769B6">
            <w:pPr>
              <w:pStyle w:val="NoSpacing"/>
            </w:pPr>
          </w:p>
        </w:tc>
      </w:tr>
      <w:tr w:rsidR="00A66C74" w14:paraId="3FA940A3" w14:textId="77777777" w:rsidTr="009769B6">
        <w:trPr>
          <w:trHeight w:val="511"/>
        </w:trPr>
        <w:tc>
          <w:tcPr>
            <w:tcW w:w="10060" w:type="dxa"/>
            <w:shd w:val="clear" w:color="auto" w:fill="auto"/>
          </w:tcPr>
          <w:p w14:paraId="1CFD18C1" w14:textId="77777777" w:rsidR="002E6AF2" w:rsidRPr="00BB1FBC" w:rsidRDefault="00AC5217" w:rsidP="009769B6">
            <w:pPr>
              <w:pStyle w:val="NoSpacing"/>
              <w:rPr>
                <w:b/>
              </w:rPr>
            </w:pPr>
            <w:r w:rsidRPr="00BB1FBC">
              <w:rPr>
                <w:b/>
              </w:rPr>
              <w:t>Procurement Option:</w:t>
            </w:r>
          </w:p>
          <w:p w14:paraId="34AB56C4" w14:textId="77777777" w:rsidR="002E6AF2" w:rsidRPr="00BB1FBC" w:rsidRDefault="00AC5217" w:rsidP="009769B6">
            <w:pPr>
              <w:pStyle w:val="NoSpacing"/>
            </w:pPr>
            <w:r w:rsidRPr="00BB1FBC">
              <w:t xml:space="preserve">Above </w:t>
            </w:r>
            <w:r w:rsidRPr="00BB1FBC">
              <w:t>Threshold Open Tender.</w:t>
            </w:r>
          </w:p>
          <w:p w14:paraId="2C2C6EF4" w14:textId="77777777" w:rsidR="002E6AF2" w:rsidRPr="00BB1FBC" w:rsidRDefault="002E6AF2" w:rsidP="009769B6">
            <w:pPr>
              <w:pStyle w:val="NoSpacing"/>
              <w:rPr>
                <w:color w:val="FF0000"/>
              </w:rPr>
            </w:pPr>
          </w:p>
        </w:tc>
      </w:tr>
      <w:tr w:rsidR="00A66C74" w14:paraId="1348044C" w14:textId="77777777" w:rsidTr="009769B6">
        <w:trPr>
          <w:trHeight w:val="511"/>
        </w:trPr>
        <w:tc>
          <w:tcPr>
            <w:tcW w:w="10060" w:type="dxa"/>
            <w:shd w:val="clear" w:color="auto" w:fill="auto"/>
          </w:tcPr>
          <w:p w14:paraId="5B217751" w14:textId="77777777" w:rsidR="002E6AF2" w:rsidRPr="00BB1FBC" w:rsidRDefault="00AC5217" w:rsidP="009769B6">
            <w:pPr>
              <w:pStyle w:val="NoSpacing"/>
              <w:rPr>
                <w:b/>
              </w:rPr>
            </w:pPr>
            <w:r w:rsidRPr="00BB1FBC">
              <w:rPr>
                <w:b/>
              </w:rPr>
              <w:t>New or Existing Provision:</w:t>
            </w:r>
          </w:p>
          <w:p w14:paraId="2DEB50EB" w14:textId="77777777" w:rsidR="002E6AF2" w:rsidRPr="00BB1FBC" w:rsidRDefault="00AC5217" w:rsidP="009769B6">
            <w:pPr>
              <w:pStyle w:val="NoSpacing"/>
            </w:pPr>
            <w:r w:rsidRPr="00BB1FBC">
              <w:t>Existing provision – the current arrangements expire on 31</w:t>
            </w:r>
            <w:r w:rsidRPr="00BB1FBC">
              <w:rPr>
                <w:vertAlign w:val="superscript"/>
              </w:rPr>
              <w:t>st</w:t>
            </w:r>
            <w:r w:rsidRPr="00BB1FBC">
              <w:t xml:space="preserve"> March 2023</w:t>
            </w:r>
          </w:p>
          <w:p w14:paraId="378C0FD4" w14:textId="77777777" w:rsidR="002E6AF2" w:rsidRPr="00BB1FBC" w:rsidRDefault="002E6AF2" w:rsidP="009769B6">
            <w:pPr>
              <w:pStyle w:val="NoSpacing"/>
              <w:rPr>
                <w:color w:val="FF0000"/>
              </w:rPr>
            </w:pPr>
          </w:p>
        </w:tc>
      </w:tr>
      <w:tr w:rsidR="00A66C74" w14:paraId="1AC6F64B" w14:textId="77777777" w:rsidTr="009769B6">
        <w:trPr>
          <w:trHeight w:val="802"/>
        </w:trPr>
        <w:tc>
          <w:tcPr>
            <w:tcW w:w="10060" w:type="dxa"/>
            <w:shd w:val="clear" w:color="auto" w:fill="auto"/>
          </w:tcPr>
          <w:p w14:paraId="4CD987A3" w14:textId="77777777" w:rsidR="002E6AF2" w:rsidRPr="00BB1FBC" w:rsidRDefault="00AC5217" w:rsidP="009769B6">
            <w:pPr>
              <w:pStyle w:val="NoSpacing"/>
              <w:rPr>
                <w:b/>
              </w:rPr>
            </w:pPr>
            <w:r w:rsidRPr="00BB1FBC">
              <w:rPr>
                <w:b/>
              </w:rPr>
              <w:t>Estimated Contract Value and Funding Arrangements:</w:t>
            </w:r>
          </w:p>
          <w:p w14:paraId="5035629D" w14:textId="77777777" w:rsidR="002E6AF2" w:rsidRPr="00BB1FBC" w:rsidRDefault="00AC5217" w:rsidP="009769B6">
            <w:pPr>
              <w:pStyle w:val="NoSpacing"/>
              <w:jc w:val="both"/>
            </w:pPr>
            <w:r w:rsidRPr="00BB1FBC">
              <w:t xml:space="preserve">The estimated annual value of this contract is </w:t>
            </w:r>
            <w:r w:rsidRPr="00BB1FBC">
              <w:rPr>
                <w:color w:val="000000" w:themeColor="text1"/>
              </w:rPr>
              <w:t>£2,700,000</w:t>
            </w:r>
            <w:r w:rsidRPr="00BB1FBC">
              <w:t>.</w:t>
            </w:r>
          </w:p>
          <w:p w14:paraId="2B14F82E" w14:textId="77777777" w:rsidR="002E6AF2" w:rsidRPr="00BB1FBC" w:rsidRDefault="00AC5217" w:rsidP="009769B6">
            <w:pPr>
              <w:pStyle w:val="NoSpacing"/>
              <w:jc w:val="both"/>
            </w:pPr>
            <w:r w:rsidRPr="00BB1FBC">
              <w:t xml:space="preserve">The estimated total contract value is </w:t>
            </w:r>
            <w:r w:rsidRPr="00BB1FBC">
              <w:rPr>
                <w:color w:val="000000" w:themeColor="text1"/>
              </w:rPr>
              <w:t>£16,200,000 over the maximum term.</w:t>
            </w:r>
          </w:p>
          <w:p w14:paraId="5E81B9B3" w14:textId="77777777" w:rsidR="002E6AF2" w:rsidRPr="00BB1FBC" w:rsidRDefault="002E6AF2" w:rsidP="009769B6">
            <w:pPr>
              <w:pStyle w:val="NoSpacing"/>
              <w:jc w:val="both"/>
            </w:pPr>
          </w:p>
          <w:p w14:paraId="31BE02B0" w14:textId="77777777" w:rsidR="002E6AF2" w:rsidRPr="00BB1FBC" w:rsidRDefault="00AC5217" w:rsidP="009769B6">
            <w:pPr>
              <w:pStyle w:val="NoSpacing"/>
              <w:jc w:val="both"/>
            </w:pPr>
            <w:r w:rsidRPr="00BB1FBC">
              <w:t>This will be funded, as currently, from the Waste Service revenue budget.</w:t>
            </w:r>
          </w:p>
          <w:p w14:paraId="6179DAAD" w14:textId="77777777" w:rsidR="002E6AF2" w:rsidRPr="00BB1FBC" w:rsidRDefault="002E6AF2" w:rsidP="009769B6">
            <w:pPr>
              <w:pStyle w:val="NoSpacing"/>
            </w:pPr>
          </w:p>
        </w:tc>
      </w:tr>
      <w:tr w:rsidR="00A66C74" w14:paraId="24B93A94" w14:textId="77777777" w:rsidTr="009769B6">
        <w:trPr>
          <w:trHeight w:val="802"/>
        </w:trPr>
        <w:tc>
          <w:tcPr>
            <w:tcW w:w="10060" w:type="dxa"/>
            <w:shd w:val="clear" w:color="auto" w:fill="auto"/>
          </w:tcPr>
          <w:p w14:paraId="5DE34DBF" w14:textId="77777777" w:rsidR="002E6AF2" w:rsidRPr="00BB1FBC" w:rsidRDefault="00AC5217" w:rsidP="009769B6">
            <w:pPr>
              <w:pStyle w:val="NoSpacing"/>
              <w:rPr>
                <w:b/>
              </w:rPr>
            </w:pPr>
            <w:r w:rsidRPr="00BB1FBC">
              <w:rPr>
                <w:b/>
              </w:rPr>
              <w:t>Contract Duration:</w:t>
            </w:r>
          </w:p>
          <w:p w14:paraId="742A828F" w14:textId="77777777" w:rsidR="002E6AF2" w:rsidRPr="00BB1FBC" w:rsidRDefault="00AC5217" w:rsidP="009769B6">
            <w:pPr>
              <w:pStyle w:val="NoSpacing"/>
              <w:jc w:val="both"/>
            </w:pPr>
            <w:r w:rsidRPr="00BB1FBC">
              <w:t>Initial contract term of 3 years (1 April 2023 to 31 March 2026) with an option to extend beyond the initial term for a maximum of a further 3 years in 12 monthly increments. Maximum end date 31 March 2029.</w:t>
            </w:r>
          </w:p>
          <w:p w14:paraId="1DDF908D" w14:textId="77777777" w:rsidR="002E6AF2" w:rsidRPr="00BB1FBC" w:rsidRDefault="002E6AF2" w:rsidP="009769B6">
            <w:pPr>
              <w:pStyle w:val="NoSpacing"/>
              <w:rPr>
                <w:color w:val="FF0000"/>
              </w:rPr>
            </w:pPr>
          </w:p>
        </w:tc>
      </w:tr>
      <w:tr w:rsidR="00A66C74" w14:paraId="6097D173" w14:textId="77777777" w:rsidTr="009769B6">
        <w:trPr>
          <w:trHeight w:val="545"/>
        </w:trPr>
        <w:tc>
          <w:tcPr>
            <w:tcW w:w="10060" w:type="dxa"/>
            <w:shd w:val="clear" w:color="auto" w:fill="auto"/>
          </w:tcPr>
          <w:p w14:paraId="710912EF" w14:textId="77777777" w:rsidR="002E6AF2" w:rsidRPr="00BB1FBC" w:rsidRDefault="00AC5217" w:rsidP="009769B6">
            <w:pPr>
              <w:pStyle w:val="NoSpacing"/>
              <w:rPr>
                <w:b/>
              </w:rPr>
            </w:pPr>
            <w:r w:rsidRPr="00BB1FBC">
              <w:rPr>
                <w:b/>
              </w:rPr>
              <w:t>Lotting:</w:t>
            </w:r>
          </w:p>
          <w:p w14:paraId="04284C7F" w14:textId="77777777" w:rsidR="002E6AF2" w:rsidRPr="00BB1FBC" w:rsidRDefault="00AC5217" w:rsidP="009769B6">
            <w:pPr>
              <w:pStyle w:val="NoSpacing"/>
              <w:jc w:val="both"/>
            </w:pPr>
            <w:r w:rsidRPr="00BB1FBC">
              <w:t>The contract will be let in three lots</w:t>
            </w:r>
            <w:r w:rsidRPr="00BB1FBC">
              <w:t xml:space="preserve"> by area (Eastern, Northern, and Southern) or as one whole contract. Bidders will be able to submit a bid for each individual lot or as a 'global' bid for all three lots.</w:t>
            </w:r>
          </w:p>
          <w:p w14:paraId="190B4662" w14:textId="77777777" w:rsidR="002E6AF2" w:rsidRPr="00BB1FBC" w:rsidRDefault="002E6AF2" w:rsidP="009769B6">
            <w:pPr>
              <w:pStyle w:val="NoSpacing"/>
            </w:pPr>
          </w:p>
        </w:tc>
      </w:tr>
      <w:tr w:rsidR="00A66C74" w14:paraId="5981632D" w14:textId="77777777" w:rsidTr="009769B6">
        <w:trPr>
          <w:trHeight w:val="604"/>
        </w:trPr>
        <w:tc>
          <w:tcPr>
            <w:tcW w:w="10060" w:type="dxa"/>
            <w:shd w:val="clear" w:color="auto" w:fill="auto"/>
            <w:vAlign w:val="center"/>
          </w:tcPr>
          <w:p w14:paraId="3B4B1D4B" w14:textId="77777777" w:rsidR="002E6AF2" w:rsidRPr="00BB1FBC" w:rsidRDefault="00AC5217" w:rsidP="009769B6">
            <w:pPr>
              <w:pStyle w:val="NoSpacing"/>
              <w:rPr>
                <w:b/>
              </w:rPr>
            </w:pPr>
            <w:r w:rsidRPr="00BB1FBC">
              <w:rPr>
                <w:b/>
              </w:rPr>
              <w:t>Evaluation:</w:t>
            </w:r>
          </w:p>
          <w:tbl>
            <w:tblPr>
              <w:tblStyle w:val="TableGrid"/>
              <w:tblW w:w="0" w:type="auto"/>
              <w:tblLook w:val="04A0" w:firstRow="1" w:lastRow="0" w:firstColumn="1" w:lastColumn="0" w:noHBand="0" w:noVBand="1"/>
            </w:tblPr>
            <w:tblGrid>
              <w:gridCol w:w="4411"/>
              <w:gridCol w:w="4678"/>
            </w:tblGrid>
            <w:tr w:rsidR="00A66C74" w14:paraId="3F0940DF" w14:textId="77777777" w:rsidTr="009769B6">
              <w:trPr>
                <w:trHeight w:val="401"/>
              </w:trPr>
              <w:tc>
                <w:tcPr>
                  <w:tcW w:w="4411" w:type="dxa"/>
                  <w:vAlign w:val="center"/>
                </w:tcPr>
                <w:p w14:paraId="4BAF8B08" w14:textId="77777777" w:rsidR="002E6AF2" w:rsidRPr="00BB1FBC" w:rsidRDefault="00AC5217" w:rsidP="009769B6">
                  <w:pPr>
                    <w:rPr>
                      <w:szCs w:val="24"/>
                    </w:rPr>
                  </w:pPr>
                  <w:r w:rsidRPr="00BB1FBC">
                    <w:rPr>
                      <w:rFonts w:ascii="Arial-BoldMT" w:hAnsi="Arial-BoldMT" w:cs="Arial-BoldMT"/>
                      <w:b/>
                      <w:bCs/>
                      <w:szCs w:val="24"/>
                    </w:rPr>
                    <w:t>Quality Criteria 10% (Social Value)</w:t>
                  </w:r>
                </w:p>
              </w:tc>
              <w:tc>
                <w:tcPr>
                  <w:tcW w:w="4678" w:type="dxa"/>
                </w:tcPr>
                <w:p w14:paraId="28758202" w14:textId="77777777" w:rsidR="002E6AF2" w:rsidRPr="00BB1FBC" w:rsidRDefault="00AC5217" w:rsidP="009769B6">
                  <w:pPr>
                    <w:rPr>
                      <w:rFonts w:ascii="Arial-BoldMT" w:hAnsi="Arial-BoldMT" w:cs="Arial-BoldMT"/>
                      <w:b/>
                      <w:bCs/>
                      <w:szCs w:val="24"/>
                    </w:rPr>
                  </w:pPr>
                  <w:r w:rsidRPr="00BB1FBC">
                    <w:rPr>
                      <w:rFonts w:ascii="Arial-BoldMT" w:hAnsi="Arial-BoldMT" w:cs="Arial-BoldMT"/>
                      <w:b/>
                      <w:bCs/>
                      <w:szCs w:val="24"/>
                    </w:rPr>
                    <w:t>Financial Criteria 90%</w:t>
                  </w:r>
                </w:p>
              </w:tc>
            </w:tr>
          </w:tbl>
          <w:p w14:paraId="610A830D" w14:textId="77777777" w:rsidR="002E6AF2" w:rsidRPr="00BB1FBC" w:rsidRDefault="002E6AF2" w:rsidP="009769B6">
            <w:pPr>
              <w:rPr>
                <w:color w:val="000000" w:themeColor="text1"/>
                <w:szCs w:val="24"/>
              </w:rPr>
            </w:pPr>
          </w:p>
          <w:p w14:paraId="6B5273F8" w14:textId="77777777" w:rsidR="002E6AF2" w:rsidRPr="00BB1FBC" w:rsidRDefault="00AC5217" w:rsidP="009769B6">
            <w:pPr>
              <w:jc w:val="both"/>
              <w:rPr>
                <w:color w:val="000000" w:themeColor="text1"/>
                <w:szCs w:val="24"/>
              </w:rPr>
            </w:pPr>
            <w:r w:rsidRPr="00BB1FBC">
              <w:rPr>
                <w:color w:val="000000" w:themeColor="text1"/>
                <w:szCs w:val="24"/>
              </w:rPr>
              <w:t>The Quality Criteria will include mandatory social value requirements with a proportion of the percentage allocated to environmental sustainability initiatives.</w:t>
            </w:r>
          </w:p>
          <w:p w14:paraId="5537E0A9" w14:textId="77777777" w:rsidR="002E6AF2" w:rsidRPr="00BB1FBC" w:rsidRDefault="002E6AF2" w:rsidP="009769B6">
            <w:pPr>
              <w:jc w:val="both"/>
              <w:rPr>
                <w:color w:val="000000" w:themeColor="text1"/>
                <w:szCs w:val="24"/>
              </w:rPr>
            </w:pPr>
          </w:p>
          <w:p w14:paraId="5BB29F11" w14:textId="77777777" w:rsidR="002E6AF2" w:rsidRPr="00BB1FBC" w:rsidRDefault="00AC5217" w:rsidP="009769B6">
            <w:pPr>
              <w:jc w:val="both"/>
              <w:rPr>
                <w:color w:val="000000" w:themeColor="text1"/>
                <w:szCs w:val="24"/>
              </w:rPr>
            </w:pPr>
            <w:r w:rsidRPr="00BB1FBC">
              <w:rPr>
                <w:color w:val="000000" w:themeColor="text1"/>
                <w:szCs w:val="24"/>
              </w:rPr>
              <w:t>Financial criteria will be evaluated on the basis of transport costs.</w:t>
            </w:r>
            <w:r w:rsidRPr="00BB1FBC">
              <w:rPr>
                <w:color w:val="000000" w:themeColor="text1"/>
                <w:szCs w:val="24"/>
              </w:rPr>
              <w:t xml:space="preserve"> Tenderers will be requested to bid in line with a robust specification / contractual terms and conditions and therefore additional quality criteria (over and above social value commitment) are not required, resulting in a higher financial weighting being </w:t>
            </w:r>
            <w:r w:rsidRPr="00BB1FBC">
              <w:rPr>
                <w:color w:val="000000" w:themeColor="text1"/>
                <w:szCs w:val="24"/>
              </w:rPr>
              <w:t>applied.</w:t>
            </w:r>
          </w:p>
          <w:p w14:paraId="6E8D29B0" w14:textId="77777777" w:rsidR="002E6AF2" w:rsidRPr="00BB1FBC" w:rsidRDefault="002E6AF2" w:rsidP="009769B6">
            <w:pPr>
              <w:jc w:val="both"/>
              <w:rPr>
                <w:color w:val="000000" w:themeColor="text1"/>
                <w:szCs w:val="24"/>
              </w:rPr>
            </w:pPr>
          </w:p>
          <w:p w14:paraId="38852EF6" w14:textId="77777777" w:rsidR="002E6AF2" w:rsidRPr="00BB1FBC" w:rsidRDefault="00AC5217" w:rsidP="009769B6">
            <w:pPr>
              <w:jc w:val="both"/>
              <w:rPr>
                <w:color w:val="000000" w:themeColor="text1"/>
                <w:szCs w:val="24"/>
              </w:rPr>
            </w:pPr>
            <w:r w:rsidRPr="00BB1FBC">
              <w:rPr>
                <w:color w:val="000000" w:themeColor="text1"/>
                <w:szCs w:val="24"/>
              </w:rPr>
              <w:t xml:space="preserve">As part of assessing a supplier’s technical and professional ability, it is intended that a selection criterion is included that requires tenderers to provide a Carbon Reduction Plan, confirming the supplier’s commitment to achieving Net Zero by </w:t>
            </w:r>
            <w:r w:rsidRPr="00BB1FBC">
              <w:rPr>
                <w:color w:val="000000" w:themeColor="text1"/>
                <w:szCs w:val="24"/>
              </w:rPr>
              <w:t xml:space="preserve">2050 in the UK, and setting out the environmental management measures that they have in place and utilised during the performance of the contract. Whilst the estimated contract value for this procurement is less than the £5million p.a. mandatory inclusion </w:t>
            </w:r>
            <w:r w:rsidRPr="00BB1FBC">
              <w:rPr>
                <w:color w:val="000000" w:themeColor="text1"/>
                <w:szCs w:val="24"/>
              </w:rPr>
              <w:t xml:space="preserve">threshold, both the subject matter and significant value of the contract over the term makes such a criteria a reasonable inclusion in the evaluation. </w:t>
            </w:r>
          </w:p>
          <w:p w14:paraId="68676E1A" w14:textId="0C71A294" w:rsidR="002E6AF2" w:rsidRDefault="002E6AF2" w:rsidP="009769B6">
            <w:pPr>
              <w:jc w:val="both"/>
              <w:rPr>
                <w:color w:val="000000" w:themeColor="text1"/>
                <w:szCs w:val="24"/>
              </w:rPr>
            </w:pPr>
          </w:p>
          <w:p w14:paraId="7E76BA0A" w14:textId="77777777" w:rsidR="00AC5217" w:rsidRPr="00BB1FBC" w:rsidRDefault="00AC5217" w:rsidP="009769B6">
            <w:pPr>
              <w:jc w:val="both"/>
              <w:rPr>
                <w:color w:val="000000" w:themeColor="text1"/>
                <w:szCs w:val="24"/>
              </w:rPr>
            </w:pPr>
          </w:p>
          <w:p w14:paraId="62F7DA5F" w14:textId="77777777" w:rsidR="002E6AF2" w:rsidRPr="00BB1FBC" w:rsidRDefault="002E6AF2" w:rsidP="009769B6">
            <w:pPr>
              <w:jc w:val="both"/>
              <w:rPr>
                <w:color w:val="FF0000"/>
                <w:szCs w:val="24"/>
              </w:rPr>
            </w:pPr>
          </w:p>
        </w:tc>
      </w:tr>
      <w:tr w:rsidR="00A66C74" w14:paraId="15A341D5" w14:textId="77777777" w:rsidTr="009769B6">
        <w:trPr>
          <w:trHeight w:val="604"/>
        </w:trPr>
        <w:tc>
          <w:tcPr>
            <w:tcW w:w="10060" w:type="dxa"/>
            <w:shd w:val="clear" w:color="auto" w:fill="auto"/>
            <w:vAlign w:val="center"/>
          </w:tcPr>
          <w:p w14:paraId="53C68811" w14:textId="77777777" w:rsidR="002E6AF2" w:rsidRPr="00BB1FBC" w:rsidRDefault="00AC5217" w:rsidP="009769B6">
            <w:pPr>
              <w:pStyle w:val="NoSpacing"/>
              <w:rPr>
                <w:b/>
              </w:rPr>
            </w:pPr>
            <w:r w:rsidRPr="00BB1FBC">
              <w:rPr>
                <w:b/>
              </w:rPr>
              <w:lastRenderedPageBreak/>
              <w:t>Contract Detail:</w:t>
            </w:r>
          </w:p>
          <w:p w14:paraId="025EE266" w14:textId="77777777" w:rsidR="002E6AF2" w:rsidRPr="00BB1FBC" w:rsidRDefault="002E6AF2" w:rsidP="009769B6">
            <w:pPr>
              <w:pStyle w:val="NoSpacing"/>
            </w:pPr>
          </w:p>
          <w:p w14:paraId="0D201DF4" w14:textId="77777777" w:rsidR="002E6AF2" w:rsidRPr="00BB1FBC" w:rsidRDefault="00AC5217" w:rsidP="009769B6">
            <w:pPr>
              <w:pStyle w:val="NoSpacing"/>
              <w:jc w:val="both"/>
            </w:pPr>
            <w:r w:rsidRPr="00BB1FBC">
              <w:t xml:space="preserve">Currently the transportation of wastes and recyclables from Lancashire County Council's household waste recycling centres (HWRCs) is provided through a contract with </w:t>
            </w:r>
            <w:r w:rsidRPr="00BB1FBC">
              <w:rPr>
                <w:bCs/>
                <w:lang w:val="en"/>
              </w:rPr>
              <w:t>SUEZ</w:t>
            </w:r>
            <w:r w:rsidRPr="00BB1FBC">
              <w:rPr>
                <w:lang w:val="en"/>
              </w:rPr>
              <w:t xml:space="preserve"> Recycling and Recovery UK Ltd which expires on the 31 March 2023.</w:t>
            </w:r>
            <w:r w:rsidRPr="00BB1FBC">
              <w:t xml:space="preserve"> </w:t>
            </w:r>
          </w:p>
          <w:p w14:paraId="2429C447" w14:textId="77777777" w:rsidR="002E6AF2" w:rsidRPr="00BB1FBC" w:rsidRDefault="002E6AF2" w:rsidP="009769B6">
            <w:pPr>
              <w:pStyle w:val="NoSpacing"/>
              <w:jc w:val="both"/>
              <w:rPr>
                <w:lang w:val="en"/>
              </w:rPr>
            </w:pPr>
          </w:p>
          <w:p w14:paraId="715BAFD2" w14:textId="77777777" w:rsidR="002E6AF2" w:rsidRPr="00BB1FBC" w:rsidRDefault="00AC5217" w:rsidP="009769B6">
            <w:pPr>
              <w:pStyle w:val="NoSpacing"/>
              <w:jc w:val="both"/>
              <w:rPr>
                <w:lang w:val="en"/>
              </w:rPr>
            </w:pPr>
            <w:r w:rsidRPr="00BB1FBC">
              <w:rPr>
                <w:lang w:val="en"/>
              </w:rPr>
              <w:t xml:space="preserve">The intention is </w:t>
            </w:r>
            <w:r w:rsidRPr="00BB1FBC">
              <w:rPr>
                <w:lang w:val="en"/>
              </w:rPr>
              <w:t xml:space="preserve">to issue an invitation to tender split into four Lots that cover the administrative county of Lancashire for all relevant HWRC material. </w:t>
            </w:r>
          </w:p>
          <w:p w14:paraId="65750CA7" w14:textId="77777777" w:rsidR="002E6AF2" w:rsidRPr="00BB1FBC" w:rsidRDefault="002E6AF2" w:rsidP="009769B6">
            <w:pPr>
              <w:pStyle w:val="NoSpacing"/>
              <w:rPr>
                <w:lang w:val="en"/>
              </w:rPr>
            </w:pPr>
          </w:p>
          <w:p w14:paraId="5673408D" w14:textId="77777777" w:rsidR="002E6AF2" w:rsidRPr="00BB1FBC" w:rsidRDefault="00AC5217" w:rsidP="009769B6">
            <w:pPr>
              <w:pStyle w:val="NoSpacing"/>
              <w:rPr>
                <w:lang w:val="en"/>
              </w:rPr>
            </w:pPr>
            <w:r w:rsidRPr="00BB1FBC">
              <w:rPr>
                <w:lang w:val="en"/>
              </w:rPr>
              <w:t>Lots will be split as follows:</w:t>
            </w:r>
          </w:p>
          <w:p w14:paraId="1E8051EB" w14:textId="77777777" w:rsidR="002E6AF2" w:rsidRPr="00BB1FBC" w:rsidRDefault="002E6AF2" w:rsidP="009769B6">
            <w:pPr>
              <w:pStyle w:val="NoSpacing"/>
              <w:rPr>
                <w:lang w:val="en"/>
              </w:rPr>
            </w:pPr>
          </w:p>
          <w:p w14:paraId="3BD35F0A" w14:textId="77777777" w:rsidR="002E6AF2" w:rsidRPr="00BB1FBC" w:rsidRDefault="002E6AF2" w:rsidP="009769B6">
            <w:pPr>
              <w:pStyle w:val="No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3"/>
              <w:gridCol w:w="3334"/>
            </w:tblGrid>
            <w:tr w:rsidR="00A66C74" w14:paraId="6E688E4D" w14:textId="77777777" w:rsidTr="009769B6">
              <w:trPr>
                <w:jc w:val="center"/>
              </w:trPr>
              <w:tc>
                <w:tcPr>
                  <w:tcW w:w="5513" w:type="dxa"/>
                  <w:shd w:val="pct12" w:color="auto" w:fill="auto"/>
                </w:tcPr>
                <w:p w14:paraId="36F1E517"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Eastern Lot 1</w:t>
                  </w:r>
                </w:p>
              </w:tc>
              <w:tc>
                <w:tcPr>
                  <w:tcW w:w="3334" w:type="dxa"/>
                  <w:shd w:val="pct12" w:color="auto" w:fill="auto"/>
                </w:tcPr>
                <w:p w14:paraId="78EE70C1"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District</w:t>
                  </w:r>
                </w:p>
              </w:tc>
            </w:tr>
            <w:tr w:rsidR="00A66C74" w14:paraId="725EDB22" w14:textId="77777777" w:rsidTr="009769B6">
              <w:trPr>
                <w:jc w:val="center"/>
              </w:trPr>
              <w:tc>
                <w:tcPr>
                  <w:tcW w:w="5513" w:type="dxa"/>
                </w:tcPr>
                <w:p w14:paraId="3C281948" w14:textId="77777777" w:rsidR="002E6AF2" w:rsidRPr="00BB1FBC" w:rsidRDefault="00AC5217" w:rsidP="009769B6">
                  <w:pPr>
                    <w:rPr>
                      <w:szCs w:val="24"/>
                    </w:rPr>
                  </w:pPr>
                  <w:r w:rsidRPr="00BB1FBC">
                    <w:rPr>
                      <w:szCs w:val="24"/>
                    </w:rPr>
                    <w:t xml:space="preserve">Barnoldswick HWRC, West Close Road, </w:t>
                  </w:r>
                  <w:r w:rsidRPr="00BB1FBC">
                    <w:rPr>
                      <w:szCs w:val="24"/>
                    </w:rPr>
                    <w:t>Barnoldswick,</w:t>
                  </w:r>
                </w:p>
              </w:tc>
              <w:tc>
                <w:tcPr>
                  <w:tcW w:w="3334" w:type="dxa"/>
                </w:tcPr>
                <w:p w14:paraId="695EBBFD"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Pendle</w:t>
                  </w:r>
                </w:p>
              </w:tc>
            </w:tr>
            <w:tr w:rsidR="00A66C74" w14:paraId="539C7683" w14:textId="77777777" w:rsidTr="009769B6">
              <w:trPr>
                <w:jc w:val="center"/>
              </w:trPr>
              <w:tc>
                <w:tcPr>
                  <w:tcW w:w="5513" w:type="dxa"/>
                </w:tcPr>
                <w:p w14:paraId="3C099BB7" w14:textId="77777777" w:rsidR="002E6AF2" w:rsidRPr="00BB1FBC" w:rsidRDefault="00AC5217" w:rsidP="009769B6">
                  <w:pPr>
                    <w:rPr>
                      <w:szCs w:val="24"/>
                    </w:rPr>
                  </w:pPr>
                  <w:r w:rsidRPr="00BB1FBC">
                    <w:rPr>
                      <w:szCs w:val="24"/>
                    </w:rPr>
                    <w:t>Burnley HWRC, Balderstone Lane, Burnley</w:t>
                  </w:r>
                </w:p>
              </w:tc>
              <w:tc>
                <w:tcPr>
                  <w:tcW w:w="3334" w:type="dxa"/>
                </w:tcPr>
                <w:p w14:paraId="57A798C4"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Burnley</w:t>
                  </w:r>
                </w:p>
              </w:tc>
            </w:tr>
            <w:tr w:rsidR="00A66C74" w14:paraId="515FE79E" w14:textId="77777777" w:rsidTr="009769B6">
              <w:trPr>
                <w:jc w:val="center"/>
              </w:trPr>
              <w:tc>
                <w:tcPr>
                  <w:tcW w:w="5513" w:type="dxa"/>
                </w:tcPr>
                <w:p w14:paraId="347B5B3A" w14:textId="77777777" w:rsidR="002E6AF2" w:rsidRPr="00BB1FBC" w:rsidRDefault="00AC5217" w:rsidP="009769B6">
                  <w:pPr>
                    <w:rPr>
                      <w:szCs w:val="24"/>
                    </w:rPr>
                  </w:pPr>
                  <w:r w:rsidRPr="00BB1FBC">
                    <w:rPr>
                      <w:szCs w:val="24"/>
                    </w:rPr>
                    <w:t>Clitheroe HWRC, Henthorn Road, Clitheroe</w:t>
                  </w:r>
                </w:p>
              </w:tc>
              <w:tc>
                <w:tcPr>
                  <w:tcW w:w="3334" w:type="dxa"/>
                </w:tcPr>
                <w:p w14:paraId="7B679F87"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Ribble Valley</w:t>
                  </w:r>
                </w:p>
              </w:tc>
            </w:tr>
            <w:tr w:rsidR="00A66C74" w14:paraId="77DB377C" w14:textId="77777777" w:rsidTr="009769B6">
              <w:trPr>
                <w:jc w:val="center"/>
              </w:trPr>
              <w:tc>
                <w:tcPr>
                  <w:tcW w:w="5513" w:type="dxa"/>
                </w:tcPr>
                <w:p w14:paraId="67456FB0" w14:textId="77777777" w:rsidR="002E6AF2" w:rsidRPr="00BB1FBC" w:rsidRDefault="00AC5217" w:rsidP="009769B6">
                  <w:pPr>
                    <w:rPr>
                      <w:szCs w:val="24"/>
                    </w:rPr>
                  </w:pPr>
                  <w:r w:rsidRPr="00BB1FBC">
                    <w:rPr>
                      <w:szCs w:val="24"/>
                    </w:rPr>
                    <w:t>Longridge HWRC, Chapel Hill, Longridge</w:t>
                  </w:r>
                </w:p>
              </w:tc>
              <w:tc>
                <w:tcPr>
                  <w:tcW w:w="3334" w:type="dxa"/>
                </w:tcPr>
                <w:p w14:paraId="6DDAA43A"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Ribble Valley</w:t>
                  </w:r>
                </w:p>
              </w:tc>
            </w:tr>
            <w:tr w:rsidR="00A66C74" w14:paraId="6BB5EA6B" w14:textId="77777777" w:rsidTr="009769B6">
              <w:trPr>
                <w:jc w:val="center"/>
              </w:trPr>
              <w:tc>
                <w:tcPr>
                  <w:tcW w:w="5513" w:type="dxa"/>
                </w:tcPr>
                <w:p w14:paraId="2FEC77F9" w14:textId="77777777" w:rsidR="002E6AF2" w:rsidRPr="00BB1FBC" w:rsidRDefault="00AC5217" w:rsidP="009769B6">
                  <w:pPr>
                    <w:rPr>
                      <w:szCs w:val="24"/>
                    </w:rPr>
                  </w:pPr>
                  <w:r w:rsidRPr="00BB1FBC">
                    <w:rPr>
                      <w:szCs w:val="24"/>
                    </w:rPr>
                    <w:t xml:space="preserve">Altham HWRC, </w:t>
                  </w:r>
                  <w:proofErr w:type="spellStart"/>
                  <w:r w:rsidRPr="00BB1FBC">
                    <w:rPr>
                      <w:szCs w:val="24"/>
                    </w:rPr>
                    <w:t>Whinney</w:t>
                  </w:r>
                  <w:proofErr w:type="spellEnd"/>
                  <w:r w:rsidRPr="00BB1FBC">
                    <w:rPr>
                      <w:szCs w:val="24"/>
                    </w:rPr>
                    <w:t xml:space="preserve"> Hill Lane, Altham</w:t>
                  </w:r>
                </w:p>
              </w:tc>
              <w:tc>
                <w:tcPr>
                  <w:tcW w:w="3334" w:type="dxa"/>
                </w:tcPr>
                <w:p w14:paraId="1DC362E7"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Hyndburn</w:t>
                  </w:r>
                </w:p>
              </w:tc>
            </w:tr>
            <w:tr w:rsidR="00A66C74" w14:paraId="260389CF" w14:textId="77777777" w:rsidTr="009769B6">
              <w:trPr>
                <w:jc w:val="center"/>
              </w:trPr>
              <w:tc>
                <w:tcPr>
                  <w:tcW w:w="5513" w:type="dxa"/>
                </w:tcPr>
                <w:p w14:paraId="3CEEF50C" w14:textId="77777777" w:rsidR="002E6AF2" w:rsidRPr="00BB1FBC" w:rsidRDefault="00AC5217" w:rsidP="009769B6">
                  <w:pPr>
                    <w:rPr>
                      <w:szCs w:val="24"/>
                    </w:rPr>
                  </w:pPr>
                  <w:r w:rsidRPr="00BB1FBC">
                    <w:rPr>
                      <w:szCs w:val="24"/>
                    </w:rPr>
                    <w:t xml:space="preserve">Haslingden HWRC, </w:t>
                  </w:r>
                  <w:r w:rsidRPr="00BB1FBC">
                    <w:rPr>
                      <w:szCs w:val="24"/>
                    </w:rPr>
                    <w:t>Clough End Road, Haslingden</w:t>
                  </w:r>
                </w:p>
              </w:tc>
              <w:tc>
                <w:tcPr>
                  <w:tcW w:w="3334" w:type="dxa"/>
                </w:tcPr>
                <w:p w14:paraId="363B8FAC"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Rossendale</w:t>
                  </w:r>
                </w:p>
              </w:tc>
            </w:tr>
          </w:tbl>
          <w:p w14:paraId="70CA993F" w14:textId="77777777" w:rsidR="002E6AF2" w:rsidRPr="00BB1FBC" w:rsidRDefault="002E6AF2" w:rsidP="009769B6">
            <w:pPr>
              <w:pStyle w:val="Body"/>
              <w:tabs>
                <w:tab w:val="clear" w:pos="851"/>
                <w:tab w:val="left" w:pos="720"/>
              </w:tabs>
              <w:spacing w:after="0"/>
              <w:ind w:left="706" w:hanging="706"/>
              <w:rPr>
                <w:rFonts w:ascii="Arial"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4"/>
              <w:gridCol w:w="3329"/>
            </w:tblGrid>
            <w:tr w:rsidR="00A66C74" w14:paraId="2BA0E257" w14:textId="77777777" w:rsidTr="009769B6">
              <w:trPr>
                <w:jc w:val="center"/>
              </w:trPr>
              <w:tc>
                <w:tcPr>
                  <w:tcW w:w="5634" w:type="dxa"/>
                  <w:shd w:val="pct12" w:color="auto" w:fill="auto"/>
                </w:tcPr>
                <w:p w14:paraId="2765F7EE"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Northern Lot 2</w:t>
                  </w:r>
                </w:p>
              </w:tc>
              <w:tc>
                <w:tcPr>
                  <w:tcW w:w="3329" w:type="dxa"/>
                  <w:shd w:val="pct12" w:color="auto" w:fill="auto"/>
                </w:tcPr>
                <w:p w14:paraId="0DE52AA0"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District</w:t>
                  </w:r>
                </w:p>
              </w:tc>
            </w:tr>
            <w:tr w:rsidR="00A66C74" w14:paraId="57ACC5B8" w14:textId="77777777" w:rsidTr="009769B6">
              <w:trPr>
                <w:jc w:val="center"/>
              </w:trPr>
              <w:tc>
                <w:tcPr>
                  <w:tcW w:w="5634" w:type="dxa"/>
                </w:tcPr>
                <w:p w14:paraId="5617EF82" w14:textId="77777777" w:rsidR="002E6AF2" w:rsidRPr="00BB1FBC" w:rsidRDefault="00AC5217" w:rsidP="009769B6">
                  <w:pPr>
                    <w:rPr>
                      <w:szCs w:val="24"/>
                    </w:rPr>
                  </w:pPr>
                  <w:r w:rsidRPr="00BB1FBC">
                    <w:rPr>
                      <w:szCs w:val="24"/>
                    </w:rPr>
                    <w:t>Carnforth HWRC, Scotland Road, Carnforth</w:t>
                  </w:r>
                </w:p>
              </w:tc>
              <w:tc>
                <w:tcPr>
                  <w:tcW w:w="3329" w:type="dxa"/>
                </w:tcPr>
                <w:p w14:paraId="6F4C2823"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Lancaster</w:t>
                  </w:r>
                </w:p>
              </w:tc>
            </w:tr>
            <w:tr w:rsidR="00A66C74" w14:paraId="39271CD6" w14:textId="77777777" w:rsidTr="009769B6">
              <w:trPr>
                <w:jc w:val="center"/>
              </w:trPr>
              <w:tc>
                <w:tcPr>
                  <w:tcW w:w="5634" w:type="dxa"/>
                </w:tcPr>
                <w:p w14:paraId="1A29F931" w14:textId="77777777" w:rsidR="002E6AF2" w:rsidRPr="00BB1FBC" w:rsidRDefault="00AC5217" w:rsidP="009769B6">
                  <w:pPr>
                    <w:rPr>
                      <w:szCs w:val="24"/>
                    </w:rPr>
                  </w:pPr>
                  <w:r w:rsidRPr="00BB1FBC">
                    <w:rPr>
                      <w:szCs w:val="24"/>
                    </w:rPr>
                    <w:t xml:space="preserve">Lancaster HWRC, </w:t>
                  </w:r>
                  <w:proofErr w:type="spellStart"/>
                  <w:r w:rsidRPr="00BB1FBC">
                    <w:rPr>
                      <w:szCs w:val="24"/>
                    </w:rPr>
                    <w:t>Ovangle</w:t>
                  </w:r>
                  <w:proofErr w:type="spellEnd"/>
                  <w:r w:rsidRPr="00BB1FBC">
                    <w:rPr>
                      <w:szCs w:val="24"/>
                    </w:rPr>
                    <w:t xml:space="preserve"> Road, Lancaster</w:t>
                  </w:r>
                </w:p>
              </w:tc>
              <w:tc>
                <w:tcPr>
                  <w:tcW w:w="3329" w:type="dxa"/>
                </w:tcPr>
                <w:p w14:paraId="57497C01"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Lancaster</w:t>
                  </w:r>
                </w:p>
              </w:tc>
            </w:tr>
            <w:tr w:rsidR="00A66C74" w14:paraId="5082A5A1" w14:textId="77777777" w:rsidTr="009769B6">
              <w:trPr>
                <w:jc w:val="center"/>
              </w:trPr>
              <w:tc>
                <w:tcPr>
                  <w:tcW w:w="5634" w:type="dxa"/>
                </w:tcPr>
                <w:p w14:paraId="2C8A1BDB" w14:textId="77777777" w:rsidR="002E6AF2" w:rsidRPr="00BB1FBC" w:rsidRDefault="00AC5217" w:rsidP="009769B6">
                  <w:pPr>
                    <w:rPr>
                      <w:szCs w:val="24"/>
                    </w:rPr>
                  </w:pPr>
                  <w:r w:rsidRPr="00BB1FBC">
                    <w:rPr>
                      <w:szCs w:val="24"/>
                    </w:rPr>
                    <w:t>Fleetwood HWRC, Jameson Road, Fleetwood</w:t>
                  </w:r>
                </w:p>
              </w:tc>
              <w:tc>
                <w:tcPr>
                  <w:tcW w:w="3329" w:type="dxa"/>
                </w:tcPr>
                <w:p w14:paraId="495B596E"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Wyre</w:t>
                  </w:r>
                </w:p>
              </w:tc>
            </w:tr>
            <w:tr w:rsidR="00A66C74" w14:paraId="7D901B9C" w14:textId="77777777" w:rsidTr="009769B6">
              <w:trPr>
                <w:jc w:val="center"/>
              </w:trPr>
              <w:tc>
                <w:tcPr>
                  <w:tcW w:w="5634" w:type="dxa"/>
                </w:tcPr>
                <w:p w14:paraId="3F18F512" w14:textId="77777777" w:rsidR="002E6AF2" w:rsidRPr="00BB1FBC" w:rsidRDefault="00AC5217" w:rsidP="009769B6">
                  <w:pPr>
                    <w:rPr>
                      <w:szCs w:val="24"/>
                    </w:rPr>
                  </w:pPr>
                  <w:r w:rsidRPr="00BB1FBC">
                    <w:rPr>
                      <w:szCs w:val="24"/>
                    </w:rPr>
                    <w:t xml:space="preserve">Lytham HWRC, </w:t>
                  </w:r>
                  <w:proofErr w:type="spellStart"/>
                  <w:r w:rsidRPr="00BB1FBC">
                    <w:rPr>
                      <w:szCs w:val="24"/>
                    </w:rPr>
                    <w:t>Saltcotes</w:t>
                  </w:r>
                  <w:proofErr w:type="spellEnd"/>
                  <w:r w:rsidRPr="00BB1FBC">
                    <w:rPr>
                      <w:szCs w:val="24"/>
                    </w:rPr>
                    <w:t xml:space="preserve"> Road, Lytham</w:t>
                  </w:r>
                </w:p>
              </w:tc>
              <w:tc>
                <w:tcPr>
                  <w:tcW w:w="3329" w:type="dxa"/>
                </w:tcPr>
                <w:p w14:paraId="3B7E7660"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Fylde</w:t>
                  </w:r>
                </w:p>
              </w:tc>
            </w:tr>
            <w:tr w:rsidR="00A66C74" w14:paraId="1F4B3B5A" w14:textId="77777777" w:rsidTr="009769B6">
              <w:trPr>
                <w:jc w:val="center"/>
              </w:trPr>
              <w:tc>
                <w:tcPr>
                  <w:tcW w:w="5634" w:type="dxa"/>
                  <w:shd w:val="clear" w:color="auto" w:fill="auto"/>
                </w:tcPr>
                <w:p w14:paraId="1C802E9A" w14:textId="77777777" w:rsidR="002E6AF2" w:rsidRPr="00BB1FBC" w:rsidRDefault="00AC5217" w:rsidP="009769B6">
                  <w:pPr>
                    <w:rPr>
                      <w:szCs w:val="24"/>
                    </w:rPr>
                  </w:pPr>
                  <w:r w:rsidRPr="00BB1FBC">
                    <w:rPr>
                      <w:szCs w:val="24"/>
                    </w:rPr>
                    <w:t xml:space="preserve">Garstang CRRC </w:t>
                  </w:r>
                  <w:proofErr w:type="spellStart"/>
                  <w:r w:rsidRPr="00BB1FBC">
                    <w:rPr>
                      <w:szCs w:val="24"/>
                    </w:rPr>
                    <w:t>Claughton</w:t>
                  </w:r>
                  <w:proofErr w:type="spellEnd"/>
                  <w:r w:rsidRPr="00BB1FBC">
                    <w:rPr>
                      <w:szCs w:val="24"/>
                    </w:rPr>
                    <w:t xml:space="preserve"> Industrial Estate, Catterall</w:t>
                  </w:r>
                </w:p>
              </w:tc>
              <w:tc>
                <w:tcPr>
                  <w:tcW w:w="3329" w:type="dxa"/>
                  <w:shd w:val="clear" w:color="auto" w:fill="auto"/>
                </w:tcPr>
                <w:p w14:paraId="7C889864"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Wyre</w:t>
                  </w:r>
                </w:p>
              </w:tc>
            </w:tr>
          </w:tbl>
          <w:p w14:paraId="2430AB76" w14:textId="77777777" w:rsidR="002E6AF2" w:rsidRPr="00BB1FBC" w:rsidRDefault="002E6AF2" w:rsidP="009769B6">
            <w:pPr>
              <w:pStyle w:val="Body"/>
              <w:tabs>
                <w:tab w:val="clear" w:pos="851"/>
                <w:tab w:val="left" w:pos="720"/>
              </w:tabs>
              <w:spacing w:after="0"/>
              <w:ind w:left="706" w:hanging="706"/>
              <w:rPr>
                <w:rFonts w:ascii="Arial"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324"/>
            </w:tblGrid>
            <w:tr w:rsidR="00A66C74" w14:paraId="65A218C9" w14:textId="77777777" w:rsidTr="009769B6">
              <w:trPr>
                <w:jc w:val="center"/>
              </w:trPr>
              <w:tc>
                <w:tcPr>
                  <w:tcW w:w="5670" w:type="dxa"/>
                  <w:shd w:val="pct12" w:color="auto" w:fill="auto"/>
                </w:tcPr>
                <w:p w14:paraId="7A2E9772"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Southern Lot 3</w:t>
                  </w:r>
                </w:p>
              </w:tc>
              <w:tc>
                <w:tcPr>
                  <w:tcW w:w="3324" w:type="dxa"/>
                  <w:shd w:val="pct12" w:color="auto" w:fill="auto"/>
                </w:tcPr>
                <w:p w14:paraId="6874D87D" w14:textId="77777777" w:rsidR="002E6AF2" w:rsidRPr="00BB1FBC" w:rsidRDefault="00AC5217" w:rsidP="009769B6">
                  <w:pPr>
                    <w:pStyle w:val="Body"/>
                    <w:tabs>
                      <w:tab w:val="clear" w:pos="851"/>
                      <w:tab w:val="left" w:pos="720"/>
                    </w:tabs>
                    <w:spacing w:after="0"/>
                    <w:jc w:val="center"/>
                    <w:rPr>
                      <w:rFonts w:ascii="Arial" w:hAnsi="Arial" w:cs="Arial"/>
                      <w:bCs/>
                      <w:szCs w:val="24"/>
                    </w:rPr>
                  </w:pPr>
                  <w:r w:rsidRPr="00BB1FBC">
                    <w:rPr>
                      <w:rFonts w:ascii="Arial" w:hAnsi="Arial" w:cs="Arial"/>
                      <w:bCs/>
                      <w:szCs w:val="24"/>
                    </w:rPr>
                    <w:t>District</w:t>
                  </w:r>
                </w:p>
              </w:tc>
            </w:tr>
            <w:tr w:rsidR="00A66C74" w14:paraId="5459BD13" w14:textId="77777777" w:rsidTr="009769B6">
              <w:trPr>
                <w:jc w:val="center"/>
              </w:trPr>
              <w:tc>
                <w:tcPr>
                  <w:tcW w:w="5670" w:type="dxa"/>
                </w:tcPr>
                <w:p w14:paraId="169DCE02" w14:textId="77777777" w:rsidR="002E6AF2" w:rsidRPr="00BB1FBC" w:rsidRDefault="00AC5217" w:rsidP="009769B6">
                  <w:pPr>
                    <w:rPr>
                      <w:szCs w:val="24"/>
                    </w:rPr>
                  </w:pPr>
                  <w:r w:rsidRPr="00BB1FBC">
                    <w:rPr>
                      <w:szCs w:val="24"/>
                    </w:rPr>
                    <w:t>Preston HWRC, Tom Benson Way, Preston</w:t>
                  </w:r>
                </w:p>
              </w:tc>
              <w:tc>
                <w:tcPr>
                  <w:tcW w:w="3324" w:type="dxa"/>
                </w:tcPr>
                <w:p w14:paraId="3EF4E749"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Preston</w:t>
                  </w:r>
                </w:p>
              </w:tc>
            </w:tr>
            <w:tr w:rsidR="00A66C74" w14:paraId="3025EB49" w14:textId="77777777" w:rsidTr="009769B6">
              <w:trPr>
                <w:jc w:val="center"/>
              </w:trPr>
              <w:tc>
                <w:tcPr>
                  <w:tcW w:w="5670" w:type="dxa"/>
                </w:tcPr>
                <w:p w14:paraId="11B76EC7" w14:textId="77777777" w:rsidR="002E6AF2" w:rsidRPr="00BB1FBC" w:rsidRDefault="00AC5217" w:rsidP="009769B6">
                  <w:pPr>
                    <w:rPr>
                      <w:szCs w:val="24"/>
                    </w:rPr>
                  </w:pPr>
                  <w:r w:rsidRPr="00BB1FBC">
                    <w:rPr>
                      <w:szCs w:val="24"/>
                    </w:rPr>
                    <w:t>Skelmersdale HWRC, Glenburn Road, Skelmersdale</w:t>
                  </w:r>
                </w:p>
              </w:tc>
              <w:tc>
                <w:tcPr>
                  <w:tcW w:w="3324" w:type="dxa"/>
                </w:tcPr>
                <w:p w14:paraId="452178D9"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West Lancashire</w:t>
                  </w:r>
                </w:p>
              </w:tc>
            </w:tr>
            <w:tr w:rsidR="00A66C74" w14:paraId="5A15CE23" w14:textId="77777777" w:rsidTr="009769B6">
              <w:trPr>
                <w:jc w:val="center"/>
              </w:trPr>
              <w:tc>
                <w:tcPr>
                  <w:tcW w:w="5670" w:type="dxa"/>
                </w:tcPr>
                <w:p w14:paraId="39C009D0" w14:textId="77777777" w:rsidR="002E6AF2" w:rsidRPr="00BB1FBC" w:rsidRDefault="00AC5217" w:rsidP="009769B6">
                  <w:pPr>
                    <w:rPr>
                      <w:szCs w:val="24"/>
                    </w:rPr>
                  </w:pPr>
                  <w:r w:rsidRPr="00BB1FBC">
                    <w:rPr>
                      <w:szCs w:val="24"/>
                    </w:rPr>
                    <w:t>Burscough HWRC, Abbey Lane, Burscough</w:t>
                  </w:r>
                </w:p>
              </w:tc>
              <w:tc>
                <w:tcPr>
                  <w:tcW w:w="3324" w:type="dxa"/>
                </w:tcPr>
                <w:p w14:paraId="1745568B"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 xml:space="preserve">West </w:t>
                  </w:r>
                  <w:r w:rsidRPr="00BB1FBC">
                    <w:rPr>
                      <w:rFonts w:ascii="Arial" w:hAnsi="Arial" w:cs="Arial"/>
                      <w:szCs w:val="24"/>
                    </w:rPr>
                    <w:t>Lancashire</w:t>
                  </w:r>
                </w:p>
              </w:tc>
            </w:tr>
            <w:tr w:rsidR="00A66C74" w14:paraId="5AFDC790" w14:textId="77777777" w:rsidTr="009769B6">
              <w:trPr>
                <w:jc w:val="center"/>
              </w:trPr>
              <w:tc>
                <w:tcPr>
                  <w:tcW w:w="5670" w:type="dxa"/>
                </w:tcPr>
                <w:p w14:paraId="11920509" w14:textId="77777777" w:rsidR="002E6AF2" w:rsidRPr="00BB1FBC" w:rsidRDefault="00AC5217" w:rsidP="009769B6">
                  <w:pPr>
                    <w:rPr>
                      <w:szCs w:val="24"/>
                    </w:rPr>
                  </w:pPr>
                  <w:proofErr w:type="spellStart"/>
                  <w:r w:rsidRPr="00BB1FBC">
                    <w:rPr>
                      <w:szCs w:val="24"/>
                    </w:rPr>
                    <w:t>Farington</w:t>
                  </w:r>
                  <w:proofErr w:type="spellEnd"/>
                  <w:r w:rsidRPr="00BB1FBC">
                    <w:rPr>
                      <w:szCs w:val="24"/>
                    </w:rPr>
                    <w:t xml:space="preserve"> HWRC, Flensburg Way, </w:t>
                  </w:r>
                  <w:proofErr w:type="spellStart"/>
                  <w:r w:rsidRPr="00BB1FBC">
                    <w:rPr>
                      <w:szCs w:val="24"/>
                    </w:rPr>
                    <w:t>Farington</w:t>
                  </w:r>
                  <w:proofErr w:type="spellEnd"/>
                </w:p>
              </w:tc>
              <w:tc>
                <w:tcPr>
                  <w:tcW w:w="3324" w:type="dxa"/>
                </w:tcPr>
                <w:p w14:paraId="29D7E876"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South Ribble</w:t>
                  </w:r>
                </w:p>
              </w:tc>
            </w:tr>
            <w:tr w:rsidR="00A66C74" w14:paraId="57007E66" w14:textId="77777777" w:rsidTr="009769B6">
              <w:trPr>
                <w:jc w:val="center"/>
              </w:trPr>
              <w:tc>
                <w:tcPr>
                  <w:tcW w:w="5670" w:type="dxa"/>
                </w:tcPr>
                <w:p w14:paraId="54DDD134" w14:textId="77777777" w:rsidR="002E6AF2" w:rsidRPr="00BB1FBC" w:rsidRDefault="00AC5217" w:rsidP="009769B6">
                  <w:pPr>
                    <w:pStyle w:val="Body"/>
                    <w:tabs>
                      <w:tab w:val="clear" w:pos="851"/>
                      <w:tab w:val="left" w:pos="720"/>
                    </w:tabs>
                    <w:spacing w:after="0"/>
                    <w:jc w:val="left"/>
                    <w:rPr>
                      <w:rFonts w:ascii="Arial" w:hAnsi="Arial" w:cs="Arial"/>
                      <w:szCs w:val="24"/>
                    </w:rPr>
                  </w:pPr>
                  <w:r w:rsidRPr="00BB1FBC">
                    <w:rPr>
                      <w:rFonts w:ascii="Arial" w:hAnsi="Arial" w:cs="Arial"/>
                      <w:szCs w:val="24"/>
                    </w:rPr>
                    <w:t>Chorley HWRC, Off Coppull Lane, Chorley</w:t>
                  </w:r>
                </w:p>
              </w:tc>
              <w:tc>
                <w:tcPr>
                  <w:tcW w:w="3324" w:type="dxa"/>
                </w:tcPr>
                <w:p w14:paraId="5CAF9553" w14:textId="77777777" w:rsidR="002E6AF2" w:rsidRPr="00BB1FBC" w:rsidRDefault="00AC5217" w:rsidP="009769B6">
                  <w:pPr>
                    <w:pStyle w:val="Body"/>
                    <w:tabs>
                      <w:tab w:val="clear" w:pos="851"/>
                      <w:tab w:val="left" w:pos="720"/>
                    </w:tabs>
                    <w:spacing w:after="0"/>
                    <w:jc w:val="center"/>
                    <w:rPr>
                      <w:rFonts w:ascii="Arial" w:hAnsi="Arial" w:cs="Arial"/>
                      <w:szCs w:val="24"/>
                    </w:rPr>
                  </w:pPr>
                  <w:r w:rsidRPr="00BB1FBC">
                    <w:rPr>
                      <w:rFonts w:ascii="Arial" w:hAnsi="Arial" w:cs="Arial"/>
                      <w:szCs w:val="24"/>
                    </w:rPr>
                    <w:t>Chorley</w:t>
                  </w:r>
                </w:p>
              </w:tc>
            </w:tr>
          </w:tbl>
          <w:p w14:paraId="48FDE273" w14:textId="77777777" w:rsidR="002E6AF2" w:rsidRPr="00BB1FBC" w:rsidRDefault="002E6AF2" w:rsidP="009769B6">
            <w:pPr>
              <w:pStyle w:val="Body"/>
              <w:tabs>
                <w:tab w:val="clear" w:pos="851"/>
                <w:tab w:val="left" w:pos="720"/>
              </w:tabs>
              <w:rPr>
                <w:rFonts w:ascii="Arial" w:hAnsi="Arial" w:cs="Arial"/>
                <w:szCs w:val="24"/>
              </w:rPr>
            </w:pPr>
          </w:p>
          <w:p w14:paraId="4EE535FC" w14:textId="77777777" w:rsidR="002E6AF2" w:rsidRPr="00BB1FBC" w:rsidRDefault="00AC5217" w:rsidP="009769B6">
            <w:pPr>
              <w:pStyle w:val="NoSpacing"/>
              <w:rPr>
                <w:lang w:val="en"/>
              </w:rPr>
            </w:pPr>
            <w:r w:rsidRPr="00BB1FBC">
              <w:rPr>
                <w:lang w:val="en"/>
              </w:rPr>
              <w:t>Lot 4 – Combined (Lots1-3)</w:t>
            </w:r>
          </w:p>
          <w:p w14:paraId="4A54E714" w14:textId="77777777" w:rsidR="002E6AF2" w:rsidRPr="00BB1FBC" w:rsidRDefault="002E6AF2" w:rsidP="009769B6">
            <w:pPr>
              <w:pStyle w:val="NoSpacing"/>
              <w:rPr>
                <w:lang w:val="en"/>
              </w:rPr>
            </w:pPr>
          </w:p>
          <w:p w14:paraId="3631BEA3" w14:textId="77777777" w:rsidR="002E6AF2" w:rsidRPr="00BB1FBC" w:rsidRDefault="00AC5217" w:rsidP="009769B6">
            <w:pPr>
              <w:pStyle w:val="NoSpacing"/>
              <w:jc w:val="both"/>
              <w:rPr>
                <w:lang w:val="en"/>
              </w:rPr>
            </w:pPr>
            <w:bookmarkStart w:id="1" w:name="_Hlk96936497"/>
            <w:r w:rsidRPr="00BB1FBC">
              <w:rPr>
                <w:lang w:val="en"/>
              </w:rPr>
              <w:t xml:space="preserve">Contracts will be awarded either as individual lots 1-3, or as a single lot 4, dependent on which model </w:t>
            </w:r>
            <w:r w:rsidRPr="00BB1FBC">
              <w:rPr>
                <w:lang w:val="en"/>
              </w:rPr>
              <w:t>offers the Council best value.</w:t>
            </w:r>
          </w:p>
          <w:p w14:paraId="2D6B3AEC" w14:textId="77777777" w:rsidR="002E6AF2" w:rsidRPr="00BB1FBC" w:rsidRDefault="002E6AF2" w:rsidP="009769B6">
            <w:pPr>
              <w:pStyle w:val="NoSpacing"/>
              <w:jc w:val="both"/>
              <w:rPr>
                <w:lang w:val="en"/>
              </w:rPr>
            </w:pPr>
          </w:p>
          <w:p w14:paraId="05C0430F" w14:textId="77777777" w:rsidR="002E6AF2" w:rsidRPr="00BB1FBC" w:rsidRDefault="00AC5217" w:rsidP="009769B6">
            <w:pPr>
              <w:pStyle w:val="NoSpacing"/>
              <w:jc w:val="both"/>
              <w:rPr>
                <w:lang w:val="en"/>
              </w:rPr>
            </w:pPr>
            <w:r w:rsidRPr="00BB1FBC">
              <w:rPr>
                <w:lang w:val="en"/>
              </w:rPr>
              <w:t>The successful tenderer(s) for each lot will provide transportation of a range of materials including residual wastes and asbestos to the Council's existing disposal facilities; and the transportation of a number of other ma</w:t>
            </w:r>
            <w:r w:rsidRPr="00BB1FBC">
              <w:rPr>
                <w:lang w:val="en"/>
              </w:rPr>
              <w:t xml:space="preserve">terials which can be recovered, such as green waste, paper and card, glass, cans, plastics, ferrous metals, mattresses and hardcore ('inert'). </w:t>
            </w:r>
          </w:p>
          <w:bookmarkEnd w:id="1"/>
          <w:p w14:paraId="3BD94953" w14:textId="77777777" w:rsidR="002E6AF2" w:rsidRPr="00BB1FBC" w:rsidRDefault="002E6AF2" w:rsidP="009769B6">
            <w:pPr>
              <w:pStyle w:val="NoSpacing"/>
              <w:jc w:val="both"/>
              <w:rPr>
                <w:lang w:val="en"/>
              </w:rPr>
            </w:pPr>
          </w:p>
          <w:p w14:paraId="19DEDBCF" w14:textId="77777777" w:rsidR="002E6AF2" w:rsidRPr="00BB1FBC" w:rsidRDefault="00AC5217" w:rsidP="009769B6">
            <w:pPr>
              <w:pStyle w:val="NoSpacing"/>
              <w:jc w:val="both"/>
              <w:rPr>
                <w:lang w:val="en"/>
              </w:rPr>
            </w:pPr>
            <w:r w:rsidRPr="00BB1FBC">
              <w:rPr>
                <w:lang w:val="en"/>
              </w:rPr>
              <w:lastRenderedPageBreak/>
              <w:t>Quality issues can only affect very limited elements of the service (as logistics inefficiency mainly impacts t</w:t>
            </w:r>
            <w:r w:rsidRPr="00BB1FBC">
              <w:rPr>
                <w:lang w:val="en"/>
              </w:rPr>
              <w:t>he contractor and not the Council). These elements will be protected by inclusion of robust provisions in the contract specification, and as such, the evaluation procedure will place the main emphasis on the transportation costs tendered by each bidder.</w:t>
            </w:r>
          </w:p>
        </w:tc>
      </w:tr>
    </w:tbl>
    <w:p w14:paraId="067D1301" w14:textId="77777777" w:rsidR="00F37E0C" w:rsidRPr="00AA42BD" w:rsidRDefault="00F37E0C" w:rsidP="00254E50">
      <w:pPr>
        <w:rPr>
          <w:sz w:val="22"/>
        </w:rPr>
      </w:pPr>
    </w:p>
    <w:sectPr w:rsidR="00F37E0C" w:rsidRPr="00AA4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2027"/>
    <w:multiLevelType w:val="hybridMultilevel"/>
    <w:tmpl w:val="41F0F944"/>
    <w:lvl w:ilvl="0" w:tplc="9BA2FCA4">
      <w:start w:val="1"/>
      <w:numFmt w:val="bullet"/>
      <w:lvlText w:val=""/>
      <w:lvlJc w:val="left"/>
      <w:pPr>
        <w:ind w:left="720" w:hanging="360"/>
      </w:pPr>
      <w:rPr>
        <w:rFonts w:ascii="Symbol" w:hAnsi="Symbol" w:hint="default"/>
      </w:rPr>
    </w:lvl>
    <w:lvl w:ilvl="1" w:tplc="A1945DBA" w:tentative="1">
      <w:start w:val="1"/>
      <w:numFmt w:val="bullet"/>
      <w:lvlText w:val="o"/>
      <w:lvlJc w:val="left"/>
      <w:pPr>
        <w:ind w:left="1440" w:hanging="360"/>
      </w:pPr>
      <w:rPr>
        <w:rFonts w:ascii="Courier New" w:hAnsi="Courier New" w:cs="Courier New" w:hint="default"/>
      </w:rPr>
    </w:lvl>
    <w:lvl w:ilvl="2" w:tplc="2C24D1B4" w:tentative="1">
      <w:start w:val="1"/>
      <w:numFmt w:val="bullet"/>
      <w:lvlText w:val=""/>
      <w:lvlJc w:val="left"/>
      <w:pPr>
        <w:ind w:left="2160" w:hanging="360"/>
      </w:pPr>
      <w:rPr>
        <w:rFonts w:ascii="Wingdings" w:hAnsi="Wingdings" w:hint="default"/>
      </w:rPr>
    </w:lvl>
    <w:lvl w:ilvl="3" w:tplc="9F0AB1E6" w:tentative="1">
      <w:start w:val="1"/>
      <w:numFmt w:val="bullet"/>
      <w:lvlText w:val=""/>
      <w:lvlJc w:val="left"/>
      <w:pPr>
        <w:ind w:left="2880" w:hanging="360"/>
      </w:pPr>
      <w:rPr>
        <w:rFonts w:ascii="Symbol" w:hAnsi="Symbol" w:hint="default"/>
      </w:rPr>
    </w:lvl>
    <w:lvl w:ilvl="4" w:tplc="4CC0DD88" w:tentative="1">
      <w:start w:val="1"/>
      <w:numFmt w:val="bullet"/>
      <w:lvlText w:val="o"/>
      <w:lvlJc w:val="left"/>
      <w:pPr>
        <w:ind w:left="3600" w:hanging="360"/>
      </w:pPr>
      <w:rPr>
        <w:rFonts w:ascii="Courier New" w:hAnsi="Courier New" w:cs="Courier New" w:hint="default"/>
      </w:rPr>
    </w:lvl>
    <w:lvl w:ilvl="5" w:tplc="399EBB7C" w:tentative="1">
      <w:start w:val="1"/>
      <w:numFmt w:val="bullet"/>
      <w:lvlText w:val=""/>
      <w:lvlJc w:val="left"/>
      <w:pPr>
        <w:ind w:left="4320" w:hanging="360"/>
      </w:pPr>
      <w:rPr>
        <w:rFonts w:ascii="Wingdings" w:hAnsi="Wingdings" w:hint="default"/>
      </w:rPr>
    </w:lvl>
    <w:lvl w:ilvl="6" w:tplc="F39682BA" w:tentative="1">
      <w:start w:val="1"/>
      <w:numFmt w:val="bullet"/>
      <w:lvlText w:val=""/>
      <w:lvlJc w:val="left"/>
      <w:pPr>
        <w:ind w:left="5040" w:hanging="360"/>
      </w:pPr>
      <w:rPr>
        <w:rFonts w:ascii="Symbol" w:hAnsi="Symbol" w:hint="default"/>
      </w:rPr>
    </w:lvl>
    <w:lvl w:ilvl="7" w:tplc="A352EEF2" w:tentative="1">
      <w:start w:val="1"/>
      <w:numFmt w:val="bullet"/>
      <w:lvlText w:val="o"/>
      <w:lvlJc w:val="left"/>
      <w:pPr>
        <w:ind w:left="5760" w:hanging="360"/>
      </w:pPr>
      <w:rPr>
        <w:rFonts w:ascii="Courier New" w:hAnsi="Courier New" w:cs="Courier New" w:hint="default"/>
      </w:rPr>
    </w:lvl>
    <w:lvl w:ilvl="8" w:tplc="7F788DCC" w:tentative="1">
      <w:start w:val="1"/>
      <w:numFmt w:val="bullet"/>
      <w:lvlText w:val=""/>
      <w:lvlJc w:val="left"/>
      <w:pPr>
        <w:ind w:left="6480" w:hanging="360"/>
      </w:pPr>
      <w:rPr>
        <w:rFonts w:ascii="Wingdings" w:hAnsi="Wingdings" w:hint="default"/>
      </w:rPr>
    </w:lvl>
  </w:abstractNum>
  <w:abstractNum w:abstractNumId="1" w15:restartNumberingAfterBreak="0">
    <w:nsid w:val="4F0B1534"/>
    <w:multiLevelType w:val="hybridMultilevel"/>
    <w:tmpl w:val="4EB6F160"/>
    <w:lvl w:ilvl="0" w:tplc="4BBAA2E6">
      <w:start w:val="1"/>
      <w:numFmt w:val="bullet"/>
      <w:lvlText w:val=""/>
      <w:lvlJc w:val="left"/>
      <w:pPr>
        <w:ind w:left="720" w:hanging="360"/>
      </w:pPr>
      <w:rPr>
        <w:rFonts w:ascii="Symbol" w:hAnsi="Symbol" w:hint="default"/>
      </w:rPr>
    </w:lvl>
    <w:lvl w:ilvl="1" w:tplc="EA2C4396" w:tentative="1">
      <w:start w:val="1"/>
      <w:numFmt w:val="bullet"/>
      <w:lvlText w:val="o"/>
      <w:lvlJc w:val="left"/>
      <w:pPr>
        <w:ind w:left="1440" w:hanging="360"/>
      </w:pPr>
      <w:rPr>
        <w:rFonts w:ascii="Courier New" w:hAnsi="Courier New" w:cs="Courier New" w:hint="default"/>
      </w:rPr>
    </w:lvl>
    <w:lvl w:ilvl="2" w:tplc="21946D6E" w:tentative="1">
      <w:start w:val="1"/>
      <w:numFmt w:val="bullet"/>
      <w:lvlText w:val=""/>
      <w:lvlJc w:val="left"/>
      <w:pPr>
        <w:ind w:left="2160" w:hanging="360"/>
      </w:pPr>
      <w:rPr>
        <w:rFonts w:ascii="Wingdings" w:hAnsi="Wingdings" w:hint="default"/>
      </w:rPr>
    </w:lvl>
    <w:lvl w:ilvl="3" w:tplc="B7FA7F2A" w:tentative="1">
      <w:start w:val="1"/>
      <w:numFmt w:val="bullet"/>
      <w:lvlText w:val=""/>
      <w:lvlJc w:val="left"/>
      <w:pPr>
        <w:ind w:left="2880" w:hanging="360"/>
      </w:pPr>
      <w:rPr>
        <w:rFonts w:ascii="Symbol" w:hAnsi="Symbol" w:hint="default"/>
      </w:rPr>
    </w:lvl>
    <w:lvl w:ilvl="4" w:tplc="F4DEA400" w:tentative="1">
      <w:start w:val="1"/>
      <w:numFmt w:val="bullet"/>
      <w:lvlText w:val="o"/>
      <w:lvlJc w:val="left"/>
      <w:pPr>
        <w:ind w:left="3600" w:hanging="360"/>
      </w:pPr>
      <w:rPr>
        <w:rFonts w:ascii="Courier New" w:hAnsi="Courier New" w:cs="Courier New" w:hint="default"/>
      </w:rPr>
    </w:lvl>
    <w:lvl w:ilvl="5" w:tplc="3BEAD110" w:tentative="1">
      <w:start w:val="1"/>
      <w:numFmt w:val="bullet"/>
      <w:lvlText w:val=""/>
      <w:lvlJc w:val="left"/>
      <w:pPr>
        <w:ind w:left="4320" w:hanging="360"/>
      </w:pPr>
      <w:rPr>
        <w:rFonts w:ascii="Wingdings" w:hAnsi="Wingdings" w:hint="default"/>
      </w:rPr>
    </w:lvl>
    <w:lvl w:ilvl="6" w:tplc="0BD8C242" w:tentative="1">
      <w:start w:val="1"/>
      <w:numFmt w:val="bullet"/>
      <w:lvlText w:val=""/>
      <w:lvlJc w:val="left"/>
      <w:pPr>
        <w:ind w:left="5040" w:hanging="360"/>
      </w:pPr>
      <w:rPr>
        <w:rFonts w:ascii="Symbol" w:hAnsi="Symbol" w:hint="default"/>
      </w:rPr>
    </w:lvl>
    <w:lvl w:ilvl="7" w:tplc="FC2EFB0A" w:tentative="1">
      <w:start w:val="1"/>
      <w:numFmt w:val="bullet"/>
      <w:lvlText w:val="o"/>
      <w:lvlJc w:val="left"/>
      <w:pPr>
        <w:ind w:left="5760" w:hanging="360"/>
      </w:pPr>
      <w:rPr>
        <w:rFonts w:ascii="Courier New" w:hAnsi="Courier New" w:cs="Courier New" w:hint="default"/>
      </w:rPr>
    </w:lvl>
    <w:lvl w:ilvl="8" w:tplc="4ACE1C48" w:tentative="1">
      <w:start w:val="1"/>
      <w:numFmt w:val="bullet"/>
      <w:lvlText w:val=""/>
      <w:lvlJc w:val="left"/>
      <w:pPr>
        <w:ind w:left="6480" w:hanging="360"/>
      </w:pPr>
      <w:rPr>
        <w:rFonts w:ascii="Wingdings" w:hAnsi="Wingdings" w:hint="default"/>
      </w:rPr>
    </w:lvl>
  </w:abstractNum>
  <w:abstractNum w:abstractNumId="2" w15:restartNumberingAfterBreak="0">
    <w:nsid w:val="604E5330"/>
    <w:multiLevelType w:val="hybridMultilevel"/>
    <w:tmpl w:val="2A4AD680"/>
    <w:lvl w:ilvl="0" w:tplc="E3167BA8">
      <w:start w:val="1"/>
      <w:numFmt w:val="bullet"/>
      <w:lvlText w:val=""/>
      <w:lvlJc w:val="left"/>
      <w:pPr>
        <w:ind w:left="720" w:hanging="360"/>
      </w:pPr>
      <w:rPr>
        <w:rFonts w:ascii="Symbol" w:hAnsi="Symbol" w:hint="default"/>
      </w:rPr>
    </w:lvl>
    <w:lvl w:ilvl="1" w:tplc="4028ADB6" w:tentative="1">
      <w:start w:val="1"/>
      <w:numFmt w:val="bullet"/>
      <w:lvlText w:val="o"/>
      <w:lvlJc w:val="left"/>
      <w:pPr>
        <w:ind w:left="1440" w:hanging="360"/>
      </w:pPr>
      <w:rPr>
        <w:rFonts w:ascii="Courier New" w:hAnsi="Courier New" w:cs="Courier New" w:hint="default"/>
      </w:rPr>
    </w:lvl>
    <w:lvl w:ilvl="2" w:tplc="A13276D6" w:tentative="1">
      <w:start w:val="1"/>
      <w:numFmt w:val="bullet"/>
      <w:lvlText w:val=""/>
      <w:lvlJc w:val="left"/>
      <w:pPr>
        <w:ind w:left="2160" w:hanging="360"/>
      </w:pPr>
      <w:rPr>
        <w:rFonts w:ascii="Wingdings" w:hAnsi="Wingdings" w:hint="default"/>
      </w:rPr>
    </w:lvl>
    <w:lvl w:ilvl="3" w:tplc="720CA8B4" w:tentative="1">
      <w:start w:val="1"/>
      <w:numFmt w:val="bullet"/>
      <w:lvlText w:val=""/>
      <w:lvlJc w:val="left"/>
      <w:pPr>
        <w:ind w:left="2880" w:hanging="360"/>
      </w:pPr>
      <w:rPr>
        <w:rFonts w:ascii="Symbol" w:hAnsi="Symbol" w:hint="default"/>
      </w:rPr>
    </w:lvl>
    <w:lvl w:ilvl="4" w:tplc="7C7C0044" w:tentative="1">
      <w:start w:val="1"/>
      <w:numFmt w:val="bullet"/>
      <w:lvlText w:val="o"/>
      <w:lvlJc w:val="left"/>
      <w:pPr>
        <w:ind w:left="3600" w:hanging="360"/>
      </w:pPr>
      <w:rPr>
        <w:rFonts w:ascii="Courier New" w:hAnsi="Courier New" w:cs="Courier New" w:hint="default"/>
      </w:rPr>
    </w:lvl>
    <w:lvl w:ilvl="5" w:tplc="74182E50" w:tentative="1">
      <w:start w:val="1"/>
      <w:numFmt w:val="bullet"/>
      <w:lvlText w:val=""/>
      <w:lvlJc w:val="left"/>
      <w:pPr>
        <w:ind w:left="4320" w:hanging="360"/>
      </w:pPr>
      <w:rPr>
        <w:rFonts w:ascii="Wingdings" w:hAnsi="Wingdings" w:hint="default"/>
      </w:rPr>
    </w:lvl>
    <w:lvl w:ilvl="6" w:tplc="2ADEFED8" w:tentative="1">
      <w:start w:val="1"/>
      <w:numFmt w:val="bullet"/>
      <w:lvlText w:val=""/>
      <w:lvlJc w:val="left"/>
      <w:pPr>
        <w:ind w:left="5040" w:hanging="360"/>
      </w:pPr>
      <w:rPr>
        <w:rFonts w:ascii="Symbol" w:hAnsi="Symbol" w:hint="default"/>
      </w:rPr>
    </w:lvl>
    <w:lvl w:ilvl="7" w:tplc="613C9A2E" w:tentative="1">
      <w:start w:val="1"/>
      <w:numFmt w:val="bullet"/>
      <w:lvlText w:val="o"/>
      <w:lvlJc w:val="left"/>
      <w:pPr>
        <w:ind w:left="5760" w:hanging="360"/>
      </w:pPr>
      <w:rPr>
        <w:rFonts w:ascii="Courier New" w:hAnsi="Courier New" w:cs="Courier New" w:hint="default"/>
      </w:rPr>
    </w:lvl>
    <w:lvl w:ilvl="8" w:tplc="42C27B58" w:tentative="1">
      <w:start w:val="1"/>
      <w:numFmt w:val="bullet"/>
      <w:lvlText w:val=""/>
      <w:lvlJc w:val="left"/>
      <w:pPr>
        <w:ind w:left="6480" w:hanging="360"/>
      </w:pPr>
      <w:rPr>
        <w:rFonts w:ascii="Wingdings" w:hAnsi="Wingdings" w:hint="default"/>
      </w:rPr>
    </w:lvl>
  </w:abstractNum>
  <w:abstractNum w:abstractNumId="3" w15:restartNumberingAfterBreak="0">
    <w:nsid w:val="747E511B"/>
    <w:multiLevelType w:val="hybridMultilevel"/>
    <w:tmpl w:val="AA061BFA"/>
    <w:lvl w:ilvl="0" w:tplc="CDE2DA68">
      <w:start w:val="1"/>
      <w:numFmt w:val="decimal"/>
      <w:lvlText w:val="%1)"/>
      <w:lvlJc w:val="left"/>
      <w:pPr>
        <w:ind w:left="720" w:hanging="360"/>
      </w:pPr>
      <w:rPr>
        <w:rFonts w:hint="default"/>
      </w:rPr>
    </w:lvl>
    <w:lvl w:ilvl="1" w:tplc="58A64AA6">
      <w:start w:val="1"/>
      <w:numFmt w:val="lowerLetter"/>
      <w:lvlText w:val="%2."/>
      <w:lvlJc w:val="left"/>
      <w:pPr>
        <w:ind w:left="1440" w:hanging="360"/>
      </w:pPr>
    </w:lvl>
    <w:lvl w:ilvl="2" w:tplc="33722992" w:tentative="1">
      <w:start w:val="1"/>
      <w:numFmt w:val="lowerRoman"/>
      <w:lvlText w:val="%3."/>
      <w:lvlJc w:val="right"/>
      <w:pPr>
        <w:ind w:left="2160" w:hanging="180"/>
      </w:pPr>
    </w:lvl>
    <w:lvl w:ilvl="3" w:tplc="43B4D238" w:tentative="1">
      <w:start w:val="1"/>
      <w:numFmt w:val="decimal"/>
      <w:lvlText w:val="%4."/>
      <w:lvlJc w:val="left"/>
      <w:pPr>
        <w:ind w:left="2880" w:hanging="360"/>
      </w:pPr>
    </w:lvl>
    <w:lvl w:ilvl="4" w:tplc="3DFC715A" w:tentative="1">
      <w:start w:val="1"/>
      <w:numFmt w:val="lowerLetter"/>
      <w:lvlText w:val="%5."/>
      <w:lvlJc w:val="left"/>
      <w:pPr>
        <w:ind w:left="3600" w:hanging="360"/>
      </w:pPr>
    </w:lvl>
    <w:lvl w:ilvl="5" w:tplc="26365F64" w:tentative="1">
      <w:start w:val="1"/>
      <w:numFmt w:val="lowerRoman"/>
      <w:lvlText w:val="%6."/>
      <w:lvlJc w:val="right"/>
      <w:pPr>
        <w:ind w:left="4320" w:hanging="180"/>
      </w:pPr>
    </w:lvl>
    <w:lvl w:ilvl="6" w:tplc="F9EC7BF4" w:tentative="1">
      <w:start w:val="1"/>
      <w:numFmt w:val="decimal"/>
      <w:lvlText w:val="%7."/>
      <w:lvlJc w:val="left"/>
      <w:pPr>
        <w:ind w:left="5040" w:hanging="360"/>
      </w:pPr>
    </w:lvl>
    <w:lvl w:ilvl="7" w:tplc="B6BCE8BC" w:tentative="1">
      <w:start w:val="1"/>
      <w:numFmt w:val="lowerLetter"/>
      <w:lvlText w:val="%8."/>
      <w:lvlJc w:val="left"/>
      <w:pPr>
        <w:ind w:left="5760" w:hanging="360"/>
      </w:pPr>
    </w:lvl>
    <w:lvl w:ilvl="8" w:tplc="F418CC00"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50"/>
    <w:rsid w:val="000245BD"/>
    <w:rsid w:val="000C1833"/>
    <w:rsid w:val="001151DA"/>
    <w:rsid w:val="0015145A"/>
    <w:rsid w:val="00157F66"/>
    <w:rsid w:val="00162179"/>
    <w:rsid w:val="001666DF"/>
    <w:rsid w:val="0017735F"/>
    <w:rsid w:val="001F59B1"/>
    <w:rsid w:val="00205DC3"/>
    <w:rsid w:val="0022111D"/>
    <w:rsid w:val="00232DB6"/>
    <w:rsid w:val="00252FD0"/>
    <w:rsid w:val="00254E50"/>
    <w:rsid w:val="0029035E"/>
    <w:rsid w:val="00290F43"/>
    <w:rsid w:val="0029223C"/>
    <w:rsid w:val="002E6AF2"/>
    <w:rsid w:val="002F4BD3"/>
    <w:rsid w:val="002F78CA"/>
    <w:rsid w:val="00303811"/>
    <w:rsid w:val="00304DFB"/>
    <w:rsid w:val="00312DE6"/>
    <w:rsid w:val="003241EE"/>
    <w:rsid w:val="00367F7F"/>
    <w:rsid w:val="003705F6"/>
    <w:rsid w:val="0038521B"/>
    <w:rsid w:val="00414382"/>
    <w:rsid w:val="004244F7"/>
    <w:rsid w:val="00440429"/>
    <w:rsid w:val="0044045A"/>
    <w:rsid w:val="00471C7C"/>
    <w:rsid w:val="00493FC3"/>
    <w:rsid w:val="00497F4D"/>
    <w:rsid w:val="004B323E"/>
    <w:rsid w:val="0051001A"/>
    <w:rsid w:val="00527D31"/>
    <w:rsid w:val="005670FF"/>
    <w:rsid w:val="005B2D03"/>
    <w:rsid w:val="005D47FB"/>
    <w:rsid w:val="005E075E"/>
    <w:rsid w:val="006530D5"/>
    <w:rsid w:val="0067300C"/>
    <w:rsid w:val="006C4211"/>
    <w:rsid w:val="00716EDB"/>
    <w:rsid w:val="0073534F"/>
    <w:rsid w:val="00750154"/>
    <w:rsid w:val="0083073C"/>
    <w:rsid w:val="008356AA"/>
    <w:rsid w:val="008418C8"/>
    <w:rsid w:val="0085039A"/>
    <w:rsid w:val="008C0402"/>
    <w:rsid w:val="00907C36"/>
    <w:rsid w:val="00967047"/>
    <w:rsid w:val="009769B6"/>
    <w:rsid w:val="009A613D"/>
    <w:rsid w:val="009D0C78"/>
    <w:rsid w:val="009E62ED"/>
    <w:rsid w:val="00A00799"/>
    <w:rsid w:val="00A06B9B"/>
    <w:rsid w:val="00A66C74"/>
    <w:rsid w:val="00AA42BD"/>
    <w:rsid w:val="00AC5217"/>
    <w:rsid w:val="00AD3DB8"/>
    <w:rsid w:val="00B20A8F"/>
    <w:rsid w:val="00B239C2"/>
    <w:rsid w:val="00B56736"/>
    <w:rsid w:val="00B66F1E"/>
    <w:rsid w:val="00B75DF3"/>
    <w:rsid w:val="00B974C9"/>
    <w:rsid w:val="00BB1FBC"/>
    <w:rsid w:val="00C05C34"/>
    <w:rsid w:val="00C463E3"/>
    <w:rsid w:val="00C50662"/>
    <w:rsid w:val="00CC6ED9"/>
    <w:rsid w:val="00D12005"/>
    <w:rsid w:val="00D3622C"/>
    <w:rsid w:val="00D57B2F"/>
    <w:rsid w:val="00DE3BC4"/>
    <w:rsid w:val="00E037B3"/>
    <w:rsid w:val="00F22A8A"/>
    <w:rsid w:val="00F37E0C"/>
    <w:rsid w:val="00FC2F89"/>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4092"/>
  <w15:chartTrackingRefBased/>
  <w15:docId w15:val="{78BF9769-21E3-4EBF-9ED1-C7FE5E6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5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3D"/>
    <w:pPr>
      <w:ind w:left="720"/>
      <w:contextualSpacing/>
    </w:pPr>
    <w:rPr>
      <w:szCs w:val="24"/>
    </w:rPr>
  </w:style>
  <w:style w:type="table" w:styleId="TableGrid">
    <w:name w:val="Table Grid"/>
    <w:basedOn w:val="TableNormal"/>
    <w:uiPriority w:val="39"/>
    <w:rsid w:val="0020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45A"/>
    <w:rPr>
      <w:sz w:val="16"/>
      <w:szCs w:val="16"/>
    </w:rPr>
  </w:style>
  <w:style w:type="paragraph" w:styleId="CommentText">
    <w:name w:val="annotation text"/>
    <w:basedOn w:val="Normal"/>
    <w:link w:val="CommentTextChar"/>
    <w:uiPriority w:val="99"/>
    <w:semiHidden/>
    <w:unhideWhenUsed/>
    <w:rsid w:val="0015145A"/>
    <w:rPr>
      <w:sz w:val="20"/>
    </w:rPr>
  </w:style>
  <w:style w:type="character" w:customStyle="1" w:styleId="CommentTextChar">
    <w:name w:val="Comment Text Char"/>
    <w:basedOn w:val="DefaultParagraphFont"/>
    <w:link w:val="CommentText"/>
    <w:uiPriority w:val="99"/>
    <w:semiHidden/>
    <w:rsid w:val="0015145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145A"/>
    <w:rPr>
      <w:b/>
      <w:bCs/>
    </w:rPr>
  </w:style>
  <w:style w:type="character" w:customStyle="1" w:styleId="CommentSubjectChar">
    <w:name w:val="Comment Subject Char"/>
    <w:basedOn w:val="CommentTextChar"/>
    <w:link w:val="CommentSubject"/>
    <w:uiPriority w:val="99"/>
    <w:semiHidden/>
    <w:rsid w:val="0015145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51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5A"/>
    <w:rPr>
      <w:rFonts w:ascii="Segoe UI" w:eastAsia="Times New Roman" w:hAnsi="Segoe UI" w:cs="Segoe UI"/>
      <w:sz w:val="18"/>
      <w:szCs w:val="18"/>
      <w:lang w:eastAsia="en-GB"/>
    </w:rPr>
  </w:style>
  <w:style w:type="paragraph" w:styleId="NoSpacing">
    <w:name w:val="No Spacing"/>
    <w:uiPriority w:val="1"/>
    <w:qFormat/>
    <w:rsid w:val="002E6AF2"/>
    <w:pPr>
      <w:spacing w:after="0" w:line="240" w:lineRule="auto"/>
    </w:pPr>
    <w:rPr>
      <w:rFonts w:ascii="Arial" w:hAnsi="Arial" w:cs="Arial"/>
      <w:sz w:val="24"/>
      <w:szCs w:val="24"/>
    </w:rPr>
  </w:style>
  <w:style w:type="paragraph" w:customStyle="1" w:styleId="Body">
    <w:name w:val="Body"/>
    <w:basedOn w:val="Normal"/>
    <w:rsid w:val="002E6AF2"/>
    <w:pPr>
      <w:tabs>
        <w:tab w:val="left" w:pos="851"/>
        <w:tab w:val="left" w:pos="1701"/>
        <w:tab w:val="left" w:pos="2835"/>
        <w:tab w:val="left" w:pos="4253"/>
      </w:tabs>
      <w:spacing w:after="24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Jackie</dc:creator>
  <cp:lastModifiedBy>Alker, Craig</cp:lastModifiedBy>
  <cp:revision>7</cp:revision>
  <dcterms:created xsi:type="dcterms:W3CDTF">2022-03-18T09:51:00Z</dcterms:created>
  <dcterms:modified xsi:type="dcterms:W3CDTF">2022-03-23T19:18:00Z</dcterms:modified>
</cp:coreProperties>
</file>